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B5A" w:rsidRP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53B5A" w:rsidRPr="00023E63" w:rsidRDefault="001E7006" w:rsidP="00D53B5A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</w:rPr>
        <w:t>РЕГИОНАЛНА ИНСПЕКЦИЯ ПО ОКОЛНАТА СРЕДА И ВОДИТЕ - БУРГАС</w:t>
      </w:r>
    </w:p>
    <w:p w:rsidR="00D53B5A" w:rsidRP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023E63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Д  О К Л А Д </w:t>
      </w:r>
    </w:p>
    <w:p w:rsidR="00D53B5A" w:rsidRPr="00023E63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53B5A" w:rsidRPr="00023E63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53B5A" w:rsidRPr="00023E63" w:rsidRDefault="00D53B5A" w:rsidP="00D53B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за състоянието на качеството на атмосферния въздух </w:t>
      </w:r>
    </w:p>
    <w:p w:rsidR="00D53B5A" w:rsidRPr="00023E63" w:rsidRDefault="00D53B5A" w:rsidP="00D53B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в контролираната от РИОСВ – Бургас територия </w:t>
      </w:r>
    </w:p>
    <w:p w:rsidR="00D53B5A" w:rsidRPr="00023E63" w:rsidRDefault="00D53B5A" w:rsidP="00D53B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по отношение на показатели фини прахови частици (ФПЧ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bg-BG"/>
        </w:rPr>
        <w:t>10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) и озон </w:t>
      </w:r>
      <w:r w:rsidR="00496F8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за зимен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период </w:t>
      </w:r>
    </w:p>
    <w:p w:rsidR="00D53B5A" w:rsidRPr="00023E63" w:rsidRDefault="00D53B5A" w:rsidP="00D53B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01.10.20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1</w:t>
      </w:r>
      <w:r w:rsidR="00CD0031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9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 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г.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 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– 31.03.20</w:t>
      </w:r>
      <w:r w:rsidR="00CD0031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20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г. </w:t>
      </w:r>
    </w:p>
    <w:p w:rsidR="00D53B5A" w:rsidRPr="00023E63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496F88" w:rsidRPr="00757D11" w:rsidRDefault="00496F88" w:rsidP="00496F88">
      <w:pPr>
        <w:rPr>
          <w:sz w:val="32"/>
          <w:szCs w:val="32"/>
        </w:rPr>
      </w:pPr>
      <w:r w:rsidRPr="00757D11">
        <w:rPr>
          <w:sz w:val="32"/>
          <w:szCs w:val="32"/>
        </w:rPr>
        <w:tab/>
      </w: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D0521" w:rsidRPr="00023E63" w:rsidRDefault="007D0521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м. </w:t>
      </w:r>
      <w:r w:rsidR="00F2111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май</w:t>
      </w:r>
      <w:r w:rsidRPr="00023E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20</w:t>
      </w:r>
      <w:r w:rsidR="00CD003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20</w:t>
      </w:r>
      <w:r w:rsidRPr="00023E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</w:t>
      </w: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397D98" w:rsidRDefault="00A36F4D" w:rsidP="00A36F4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lastRenderedPageBreak/>
        <w:t xml:space="preserve">   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Докладът е изготвен на основание т. 11.5 от Заповед № РД-66/28.01.2013 г.  на Министъра на околната среда и водите. Целта е да се направи оценка на регистрираните нива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фи</w:t>
      </w:r>
      <w:r w:rsidR="00397D98">
        <w:rPr>
          <w:rFonts w:ascii="Times New Roman" w:eastAsia="Times New Roman" w:hAnsi="Times New Roman" w:cs="Times New Roman"/>
          <w:sz w:val="24"/>
          <w:szCs w:val="24"/>
          <w:lang w:eastAsia="bg-BG"/>
        </w:rPr>
        <w:t>ни прахови частици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озон като атмосфер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ни замърсители за период</w:t>
      </w:r>
      <w:r w:rsidR="00E47A37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01.10.201</w:t>
      </w:r>
      <w:r w:rsidR="00CD003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9</w:t>
      </w:r>
      <w:r w:rsidR="000F2AC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÷ 31.03.20</w:t>
      </w:r>
      <w:r w:rsidR="00CD003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20</w:t>
      </w:r>
      <w:r w:rsidR="00A45E23" w:rsidRPr="0054668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A45E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превишенията на установените норми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тенденциите на изменение. </w:t>
      </w:r>
    </w:p>
    <w:p w:rsidR="00D53B5A" w:rsidRPr="00D53B5A" w:rsidRDefault="00A36F4D" w:rsidP="00397D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изготвянето на доклада са използвани обработени данни от пунктовете за мониторинг (ПМ), разположени на територията на РИОСВ – Бургас.</w:t>
      </w:r>
      <w:r w:rsidR="00D53B5A" w:rsidRPr="00D53B5A"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  <w:t xml:space="preserve"> </w:t>
      </w:r>
    </w:p>
    <w:p w:rsidR="00D53B5A" w:rsidRPr="00D53B5A" w:rsidRDefault="00D53B5A" w:rsidP="0039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0030B" w:rsidRDefault="0050030B" w:rsidP="0050030B">
      <w:pPr>
        <w:keepNext/>
        <w:keepLines/>
        <w:spacing w:before="200" w:after="0" w:line="240" w:lineRule="auto"/>
        <w:ind w:left="426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</w:pPr>
    </w:p>
    <w:p w:rsidR="00D53B5A" w:rsidRPr="0050030B" w:rsidRDefault="0050030B" w:rsidP="0050030B">
      <w:pPr>
        <w:keepNext/>
        <w:keepLines/>
        <w:spacing w:before="200" w:after="0" w:line="240" w:lineRule="auto"/>
        <w:ind w:left="426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  <w:t>1.</w:t>
      </w:r>
      <w:r w:rsidR="000F7D08" w:rsidRPr="0050030B"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  <w:t>УВОД</w:t>
      </w:r>
    </w:p>
    <w:p w:rsidR="00D53B5A" w:rsidRPr="00D53B5A" w:rsidRDefault="00D53B5A" w:rsidP="00D53B5A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7411D2" w:rsidRPr="007411D2" w:rsidRDefault="007411D2" w:rsidP="005D585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E47A37">
        <w:rPr>
          <w:rFonts w:ascii="Times New Roman" w:hAnsi="Times New Roman" w:cs="Times New Roman"/>
          <w:b/>
          <w:color w:val="000000"/>
          <w:sz w:val="24"/>
          <w:szCs w:val="24"/>
        </w:rPr>
        <w:t>Фините прахови частици</w:t>
      </w:r>
      <w:r w:rsidR="00E47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443">
        <w:rPr>
          <w:rFonts w:ascii="Times New Roman" w:hAnsi="Times New Roman" w:cs="Times New Roman"/>
          <w:color w:val="000000"/>
          <w:sz w:val="24"/>
          <w:szCs w:val="24"/>
        </w:rPr>
        <w:t>(ФПЧ</w:t>
      </w:r>
      <w:r w:rsidR="00663443" w:rsidRPr="0066344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10</w:t>
      </w:r>
      <w:r w:rsidR="0066344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47A37">
        <w:rPr>
          <w:rFonts w:ascii="Times New Roman" w:hAnsi="Times New Roman" w:cs="Times New Roman"/>
          <w:color w:val="000000"/>
          <w:sz w:val="24"/>
          <w:szCs w:val="24"/>
        </w:rPr>
        <w:t>са част от атмосферния прах и</w:t>
      </w:r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7A37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основен замърсител на въздуха. Вредният здравен ефект </w:t>
      </w:r>
      <w:r w:rsidR="00162380">
        <w:rPr>
          <w:rFonts w:ascii="Times New Roman" w:hAnsi="Times New Roman" w:cs="Times New Roman"/>
          <w:color w:val="000000"/>
          <w:sz w:val="24"/>
          <w:szCs w:val="24"/>
        </w:rPr>
        <w:t xml:space="preserve">на праха </w:t>
      </w:r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зависи главно от размера и химичния състав на суспендираните прахови частици, от адсорбираните на повърхността им други химични съединения, в това число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мутагени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>, ДНК - модулатори и др., както и от участъка на респираторната система, в която те се отлагат. Основни източници на прах са промишлеността, транспорта и енергетиката.</w:t>
      </w:r>
    </w:p>
    <w:p w:rsidR="00D53B5A" w:rsidRDefault="00585907" w:rsidP="00D53B5A">
      <w:pPr>
        <w:tabs>
          <w:tab w:val="left" w:pos="9639"/>
          <w:tab w:val="left" w:pos="9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</w:t>
      </w:r>
      <w:r w:rsidR="00E47A37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="00D53B5A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периода на докладване </w:t>
      </w:r>
      <w:r w:rsidR="00E47A37">
        <w:rPr>
          <w:rFonts w:ascii="Times New Roman" w:eastAsia="Times New Roman" w:hAnsi="Times New Roman" w:cs="Times New Roman"/>
          <w:sz w:val="24"/>
          <w:szCs w:val="24"/>
          <w:lang w:eastAsia="bg-BG"/>
        </w:rPr>
        <w:t>е характерно</w:t>
      </w:r>
      <w:r w:rsidR="00D53B5A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използването на локални отоплителни системи</w:t>
      </w:r>
      <w:r w:rsidR="007411D2">
        <w:rPr>
          <w:rFonts w:ascii="Times New Roman" w:eastAsia="Times New Roman" w:hAnsi="Times New Roman" w:cs="Times New Roman"/>
          <w:sz w:val="24"/>
          <w:szCs w:val="24"/>
          <w:lang w:eastAsia="bg-BG"/>
        </w:rPr>
        <w:t>, използващи твърдо гориво или гориво с високо съдържание на пепел</w:t>
      </w:r>
      <w:r w:rsidR="00D53B5A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което от своя страна води до </w:t>
      </w:r>
      <w:r w:rsidR="00F240B5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значително увеличаване на концентрацията на фини прахови частици в </w:t>
      </w:r>
      <w:proofErr w:type="spellStart"/>
      <w:r w:rsidR="00F240B5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>атмосферниа</w:t>
      </w:r>
      <w:proofErr w:type="spellEnd"/>
      <w:r w:rsidR="00F240B5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въздух</w:t>
      </w:r>
      <w:r w:rsidR="00D53B5A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C23A38" w:rsidRDefault="00C23A38" w:rsidP="00D53B5A">
      <w:pPr>
        <w:tabs>
          <w:tab w:val="left" w:pos="9639"/>
          <w:tab w:val="left" w:pos="9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C00AE" w:rsidRDefault="005D5852" w:rsidP="005D58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852">
        <w:rPr>
          <w:rFonts w:ascii="Times New Roman" w:hAnsi="Times New Roman" w:cs="Times New Roman"/>
          <w:b/>
          <w:color w:val="000000"/>
          <w:sz w:val="24"/>
          <w:szCs w:val="24"/>
        </w:rPr>
        <w:t>Озонът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е газ, който се среща в горната част на атмосферата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30 - 50 км над земната повърхност и в приземния въздушен слой. Високо разположеният озонов слой има защитни функции, изразяващи се в защита срещу ултравиолетовите лъч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докато в приземния слой, той 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може да има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неблагоприятно въздействие.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Озонът е мощен оксидант. Той не се емитира директно в атмосферата. Формира се от взаимодействието на азотните оксиди и летливите органични съединения под влияние на високи температури и слънчева светлина. Естествените фонови стойности на озона във въздуха са около 30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мкг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>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, но могат да стигнат много по-високи стойности (напр. 120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мкг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>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D5852" w:rsidRPr="005D5852" w:rsidRDefault="00585907" w:rsidP="005D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="005D5852"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Въз основа на наблюденията за здравните ефекти на озона, СЗО препоръчва допустима едночасова концентрация 150 - 200 </w:t>
      </w:r>
      <w:proofErr w:type="spellStart"/>
      <w:r w:rsidR="005D5852" w:rsidRPr="005D5852">
        <w:rPr>
          <w:rFonts w:ascii="Times New Roman" w:hAnsi="Times New Roman" w:cs="Times New Roman"/>
          <w:color w:val="000000"/>
          <w:sz w:val="24"/>
          <w:szCs w:val="24"/>
        </w:rPr>
        <w:t>мкг</w:t>
      </w:r>
      <w:proofErr w:type="spellEnd"/>
      <w:r w:rsidR="005D5852" w:rsidRPr="005D5852">
        <w:rPr>
          <w:rFonts w:ascii="Times New Roman" w:hAnsi="Times New Roman" w:cs="Times New Roman"/>
          <w:color w:val="000000"/>
          <w:sz w:val="24"/>
          <w:szCs w:val="24"/>
        </w:rPr>
        <w:t>/м</w:t>
      </w:r>
      <w:r w:rsidR="005D5852"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5D5852"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, а за осемчасова експозиция - 100 - 120 </w:t>
      </w:r>
      <w:proofErr w:type="spellStart"/>
      <w:r w:rsidR="005D5852" w:rsidRPr="005D5852">
        <w:rPr>
          <w:rFonts w:ascii="Times New Roman" w:hAnsi="Times New Roman" w:cs="Times New Roman"/>
          <w:color w:val="000000"/>
          <w:sz w:val="24"/>
          <w:szCs w:val="24"/>
        </w:rPr>
        <w:t>мкг</w:t>
      </w:r>
      <w:proofErr w:type="spellEnd"/>
      <w:r w:rsidR="005D5852" w:rsidRPr="005D5852">
        <w:rPr>
          <w:rFonts w:ascii="Times New Roman" w:hAnsi="Times New Roman" w:cs="Times New Roman"/>
          <w:color w:val="000000"/>
          <w:sz w:val="24"/>
          <w:szCs w:val="24"/>
        </w:rPr>
        <w:t>/м</w:t>
      </w:r>
      <w:r w:rsidR="005D5852"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5D5852" w:rsidRPr="005D58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00AE" w:rsidRDefault="00EC00AE" w:rsidP="00D53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0030B" w:rsidRDefault="0050030B" w:rsidP="00D53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53B5A" w:rsidRPr="00D53B5A" w:rsidRDefault="000F7D08" w:rsidP="00D53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2. 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ОПИСАНИЕ НА РАЙОНА ЗА ДОКЛАДВАНЕ</w:t>
      </w:r>
    </w:p>
    <w:p w:rsidR="00D53B5A" w:rsidRPr="00D53B5A" w:rsidRDefault="00D53B5A" w:rsidP="00D53B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D53B5A" w:rsidRPr="00D53B5A" w:rsidRDefault="00D53B5A" w:rsidP="00D5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Докладът е изготвен за общините Бургас и Несебър, включени в РОУКАВ „Югоизточен”. Средата е урбанизирана, с висока плътност на застрояване, интензивен автомобилен трафик и промишлена активност за община Бургас. </w:t>
      </w:r>
    </w:p>
    <w:p w:rsidR="00D53B5A" w:rsidRPr="00D53B5A" w:rsidRDefault="00D53B5A" w:rsidP="00D5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Територията на община Бургас е предимно равнинна. Тя е разположена в най-източната точка на Бургаската низина, със средна надморска височина 17 </w:t>
      </w:r>
      <w:r w:rsidRPr="00D53B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Причерноморската част от територията на общината е заета от трите лиманни езера – Бургаско, Атанасовско и Мандренско. Между Бургаското и Мандренското езеро се издига височин</w:t>
      </w:r>
      <w:r w:rsidR="005D585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а -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Върли бряг (209 m)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val="en-US" w:eastAsia="bg-BG"/>
        </w:rPr>
        <w:t xml:space="preserve">, 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ко</w:t>
      </w:r>
      <w:r w:rsidR="005D585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я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то </w:t>
      </w:r>
      <w:r w:rsidR="005D5852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най-високата точка в общината. </w:t>
      </w:r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Община Бургас попада на прехода на коренно противоположни по своя характер повърхнини – суша и вода и притежава своеобразен климат. Характеризира се с отделен климатичен район в Черноморската климатична подобласт в системата на Континентално-средиземноморската климатична област.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Преобладаващите ветрове са източните - североизточните. Характерен вятър е бриза, който се появява през топлото полугодие.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Бризовата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циркулация има изключително въздействие върху климата.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Близостта на морската акватория е причината за наличието на локална циркулация на приземния слой въздух (морски и континентален бриз), което има пряко отношение към разсейване на атмосферните замърсители.</w:t>
      </w:r>
    </w:p>
    <w:p w:rsidR="00D53B5A" w:rsidRPr="00F154D6" w:rsidRDefault="00D53B5A" w:rsidP="00663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Несебър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разположена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североизточната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част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Бургаска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област</w:t>
      </w:r>
      <w:proofErr w:type="spellEnd"/>
      <w:r w:rsidR="00F154D6">
        <w:rPr>
          <w:rFonts w:ascii="Times New Roman" w:hAnsi="Times New Roman" w:cs="Times New Roman"/>
          <w:sz w:val="24"/>
          <w:szCs w:val="24"/>
        </w:rPr>
        <w:t>.</w:t>
      </w:r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r w:rsidR="001D0FED">
        <w:rPr>
          <w:rFonts w:ascii="Times New Roman" w:hAnsi="Times New Roman" w:cs="Times New Roman"/>
          <w:sz w:val="24"/>
          <w:szCs w:val="24"/>
        </w:rPr>
        <w:t>Територията на общината обхваща части от Старопланинското и Черноморско крайбрежие.</w:t>
      </w:r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0FED">
        <w:rPr>
          <w:rFonts w:ascii="Times New Roman" w:hAnsi="Times New Roman" w:cs="Times New Roman"/>
          <w:sz w:val="24"/>
          <w:szCs w:val="24"/>
        </w:rPr>
        <w:t xml:space="preserve">Преобладава </w:t>
      </w:r>
      <w:proofErr w:type="spellStart"/>
      <w:r w:rsidR="001D0FED">
        <w:rPr>
          <w:rFonts w:ascii="Times New Roman" w:hAnsi="Times New Roman" w:cs="Times New Roman"/>
          <w:sz w:val="24"/>
          <w:szCs w:val="24"/>
        </w:rPr>
        <w:t>низинният</w:t>
      </w:r>
      <w:proofErr w:type="spellEnd"/>
      <w:r w:rsidR="001D0FED">
        <w:rPr>
          <w:rFonts w:ascii="Times New Roman" w:hAnsi="Times New Roman" w:cs="Times New Roman"/>
          <w:sz w:val="24"/>
          <w:szCs w:val="24"/>
        </w:rPr>
        <w:t xml:space="preserve"> релеф. </w:t>
      </w:r>
      <w:r w:rsidR="00F154D6">
        <w:rPr>
          <w:rFonts w:ascii="Times New Roman" w:hAnsi="Times New Roman" w:cs="Times New Roman"/>
          <w:sz w:val="24"/>
          <w:szCs w:val="24"/>
        </w:rPr>
        <w:t xml:space="preserve">Бреговата линия е силно разчленена.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Непосредственото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климатично</w:t>
      </w:r>
      <w:proofErr w:type="spellEnd"/>
      <w:r w:rsidR="0066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влияние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морето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навътре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сушата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достига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около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40-60 km.</w:t>
      </w:r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r w:rsidR="00F154D6">
        <w:rPr>
          <w:rFonts w:ascii="Times New Roman" w:hAnsi="Times New Roman" w:cs="Times New Roman"/>
          <w:sz w:val="24"/>
          <w:szCs w:val="24"/>
        </w:rPr>
        <w:t>Община Несебър е сред големите туристически агломерации по българското Черноморско крайбрежие. През последните години се наблюдава значителен ръст на основно изградената леглова база, места за хранене и развлечения, както и ръст на броя на туристите. Промишлеността в общината е слабо развита и е концентрирана в промишлената зона на гр. Несебър и с. Равда. Тя има предимно спомагателна роля. На територията на общината няма значи</w:t>
      </w:r>
      <w:r w:rsidR="004C124E">
        <w:rPr>
          <w:rFonts w:ascii="Times New Roman" w:hAnsi="Times New Roman" w:cs="Times New Roman"/>
          <w:sz w:val="24"/>
          <w:szCs w:val="24"/>
        </w:rPr>
        <w:t>ми</w:t>
      </w:r>
      <w:r w:rsidR="00F154D6">
        <w:rPr>
          <w:rFonts w:ascii="Times New Roman" w:hAnsi="Times New Roman" w:cs="Times New Roman"/>
          <w:sz w:val="24"/>
          <w:szCs w:val="24"/>
        </w:rPr>
        <w:t xml:space="preserve"> източници на </w:t>
      </w:r>
      <w:r w:rsidR="004C124E">
        <w:rPr>
          <w:rFonts w:ascii="Times New Roman" w:hAnsi="Times New Roman" w:cs="Times New Roman"/>
          <w:sz w:val="24"/>
          <w:szCs w:val="24"/>
        </w:rPr>
        <w:t>емисии в атмосферния въздух, поради което този сектор не оказва съществено влияние върху качеството на атмосферния въздух в общината.</w:t>
      </w:r>
    </w:p>
    <w:p w:rsidR="001D0FED" w:rsidRPr="00D53B5A" w:rsidRDefault="001D0FED" w:rsidP="001D0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A36AD" w:rsidRPr="001C377B" w:rsidRDefault="000A36AD" w:rsidP="001C377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53B5A" w:rsidRDefault="00D53B5A" w:rsidP="001C377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E52772" w:rsidRPr="00D53B5A">
        <w:rPr>
          <w:rFonts w:ascii="Times New Roman" w:eastAsia="Times New Roman" w:hAnsi="Times New Roman" w:cs="Times New Roman"/>
          <w:b/>
          <w:sz w:val="24"/>
          <w:szCs w:val="24"/>
        </w:rPr>
        <w:t>НОРМИ ЗА КАВ ПО ОТНОШЕНИЕ НА ДОКЛАДВАНИТЕ ЗАМЪРСИТЕЛИ</w:t>
      </w:r>
    </w:p>
    <w:p w:rsidR="001C377B" w:rsidRPr="001C377B" w:rsidRDefault="001C377B" w:rsidP="001C377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53B5A" w:rsidRPr="00D53B5A" w:rsidRDefault="00D53B5A" w:rsidP="00D5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Оценката на нивата на замърсяване с ФПЧ</w:t>
      </w:r>
      <w:r w:rsidRPr="00D53B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10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направена съгласно критериите за концентрацията на вредни вещества, установени с </w:t>
      </w:r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Наредба № 12 за норми за серен диоксид, азотен диоксид, фини прахови частици, олово, бензен, въглероден оксид и озон в атмосферния въздух  (обн. в ДВ бр. 58/30.07.2010 г.) </w:t>
      </w:r>
    </w:p>
    <w:p w:rsidR="00D53B5A" w:rsidRPr="00D53B5A" w:rsidRDefault="00D53B5A" w:rsidP="00D5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D53B5A" w:rsidRPr="00D53B5A" w:rsidRDefault="00D53B5A" w:rsidP="00663443">
      <w:pPr>
        <w:spacing w:after="0" w:line="240" w:lineRule="auto"/>
        <w:ind w:left="907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6"/>
        <w:gridCol w:w="3397"/>
        <w:gridCol w:w="3395"/>
      </w:tblGrid>
      <w:tr w:rsidR="00D53B5A" w:rsidRPr="00D53B5A" w:rsidTr="00D53B5A">
        <w:tc>
          <w:tcPr>
            <w:tcW w:w="1667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Стойност</w:t>
            </w:r>
          </w:p>
        </w:tc>
      </w:tr>
      <w:tr w:rsidR="00D53B5A" w:rsidRPr="00D53B5A" w:rsidTr="00D53B5A">
        <w:tc>
          <w:tcPr>
            <w:tcW w:w="1667" w:type="pct"/>
            <w:vMerge w:val="restart"/>
            <w:vAlign w:val="center"/>
          </w:tcPr>
          <w:p w:rsidR="00972476" w:rsidRDefault="00972476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прахови частици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ФПЧ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667" w:type="pct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Средноденонощна  норма (СДН)   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СДН = 5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sym w:font="Symbol" w:char="F06D"/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g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m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bg-BG"/>
              </w:rPr>
              <w:t>3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(да не бъде превишавана повече от </w:t>
            </w: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3</w:t>
            </w: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 пъти през годината)</w:t>
            </w:r>
          </w:p>
        </w:tc>
      </w:tr>
      <w:tr w:rsidR="00D53B5A" w:rsidRPr="00D53B5A" w:rsidTr="00D53B5A">
        <w:tc>
          <w:tcPr>
            <w:tcW w:w="1667" w:type="pct"/>
            <w:vMerge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Средногодишна норма  (СГН)  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СГН = 4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0 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sym w:font="Symbol" w:char="F06D"/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g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m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bg-BG"/>
              </w:rPr>
              <w:t>3</w:t>
            </w:r>
          </w:p>
        </w:tc>
      </w:tr>
    </w:tbl>
    <w:p w:rsidR="00D53B5A" w:rsidRPr="00D53B5A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D53B5A" w:rsidRPr="00D53B5A" w:rsidRDefault="00D53B5A" w:rsidP="00D53B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Нормите за съдържание на озон в атмосферния въздух, които следва да бъдат достигнати и  поддържани, както и критериите за оценка на нивата на озон, са дефинирани в </w:t>
      </w:r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Наредба № 12/15.07.2010 за норми за серен диоксид, азотен диоксид, фини прахови частици, олово, бензен, въглероден оксид и озон в атмосферния въздух (обн. в ДВ бр. 58/30.07.2010 г.).</w:t>
      </w:r>
    </w:p>
    <w:p w:rsidR="00D53B5A" w:rsidRPr="00D53B5A" w:rsidRDefault="00D53B5A" w:rsidP="00D53B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D53B5A" w:rsidRPr="00D53B5A" w:rsidRDefault="00D53B5A" w:rsidP="00D06036">
      <w:pPr>
        <w:spacing w:after="0" w:line="240" w:lineRule="auto"/>
        <w:ind w:left="7920" w:firstLine="11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3"/>
        <w:gridCol w:w="2510"/>
        <w:gridCol w:w="3075"/>
      </w:tblGrid>
      <w:tr w:rsidR="00D53B5A" w:rsidRPr="00D53B5A" w:rsidTr="000A36AD">
        <w:tc>
          <w:tcPr>
            <w:tcW w:w="2259" w:type="pct"/>
            <w:tcBorders>
              <w:bottom w:val="single" w:sz="4" w:space="0" w:color="auto"/>
            </w:tcBorders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Замърсител</w:t>
            </w:r>
          </w:p>
        </w:tc>
        <w:tc>
          <w:tcPr>
            <w:tcW w:w="1232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Параметър</w:t>
            </w:r>
          </w:p>
        </w:tc>
        <w:tc>
          <w:tcPr>
            <w:tcW w:w="1509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Стойност</w:t>
            </w:r>
          </w:p>
        </w:tc>
      </w:tr>
      <w:tr w:rsidR="00D53B5A" w:rsidRPr="00D53B5A" w:rsidTr="000A36A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A" w:rsidRDefault="00C4669A" w:rsidP="00C4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36FF8" w:rsidRDefault="00036FF8" w:rsidP="00C4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53B5A" w:rsidRPr="00D53B5A" w:rsidRDefault="00C4669A" w:rsidP="00C4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Озон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Краткосрочна целева норма за опазване на човешкото здраве (КЦН)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(Наредба №12, прил.3)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120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μg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/m³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Максимална осемчасова  средна стойност в рамките на денонощието (да не се превишава в повече от 25 дни на календарна година, осреднено за тригодишен период)</w:t>
            </w:r>
          </w:p>
        </w:tc>
      </w:tr>
      <w:tr w:rsidR="00D53B5A" w:rsidRPr="00D53B5A" w:rsidTr="000A36A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4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Праг за 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информиране на населението (ПИН)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(Наредба №12, 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прил. 4)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180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μg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/m³</w:t>
            </w:r>
          </w:p>
          <w:p w:rsidR="00D53B5A" w:rsidRPr="00D53B5A" w:rsidRDefault="00D53B5A" w:rsidP="00D53B5A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Средночасова стойност      в 3 последователни часа</w:t>
            </w:r>
          </w:p>
        </w:tc>
      </w:tr>
      <w:tr w:rsidR="00D53B5A" w:rsidRPr="00D53B5A" w:rsidTr="00D53B5A"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Праг за предупреждаване на населението (ППН)</w:t>
            </w:r>
          </w:p>
          <w:p w:rsidR="0066344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(Наредба № 12, 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прил. 4)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240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μg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/m³</w:t>
            </w:r>
          </w:p>
          <w:p w:rsidR="00D53B5A" w:rsidRPr="00D53B5A" w:rsidRDefault="00D53B5A" w:rsidP="00D53B5A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Средночасова стойност           в 3 последователни часа</w:t>
            </w:r>
          </w:p>
        </w:tc>
      </w:tr>
    </w:tbl>
    <w:p w:rsidR="00D53B5A" w:rsidRPr="00D53B5A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3B5A" w:rsidRDefault="00D53B5A" w:rsidP="00D53B5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68F" w:rsidRDefault="0054668F" w:rsidP="005466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B5A" w:rsidRPr="00D53B5A" w:rsidRDefault="00E52772" w:rsidP="005466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4. ПУНКТОВЕ ЗА МОНИТОРИНГ, РАЗПОЛОЖЕНИ НА ТЕРИТОРИЯТА НА РИОСВ-БУРГАС</w:t>
      </w:r>
    </w:p>
    <w:p w:rsidR="00D53B5A" w:rsidRPr="00D53B5A" w:rsidRDefault="00D53B5A" w:rsidP="00D53B5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53B5A" w:rsidRPr="00D53B5A" w:rsidRDefault="00D53B5A" w:rsidP="00D5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територията на РИОСВ-Бургас са разположени  следните пунктове за мониторинг (ПМ)   представени в табл.3  и поддържани от РЛ-03 –Бургас към ИАОС.</w:t>
      </w:r>
    </w:p>
    <w:p w:rsidR="00D53B5A" w:rsidRPr="00D53B5A" w:rsidRDefault="00D53B5A" w:rsidP="00D53B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3B5A" w:rsidRPr="00D53B5A" w:rsidRDefault="00D53B5A" w:rsidP="00D06036">
      <w:pPr>
        <w:spacing w:after="0" w:line="240" w:lineRule="auto"/>
        <w:ind w:left="7920" w:firstLine="72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 3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938"/>
      </w:tblGrid>
      <w:tr w:rsidR="00D53B5A" w:rsidRPr="00D53B5A" w:rsidTr="009A6B7A">
        <w:tc>
          <w:tcPr>
            <w:tcW w:w="2126" w:type="dxa"/>
            <w:shd w:val="clear" w:color="auto" w:fill="D9D9D9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Пункт</w:t>
            </w:r>
          </w:p>
        </w:tc>
        <w:tc>
          <w:tcPr>
            <w:tcW w:w="7938" w:type="dxa"/>
            <w:shd w:val="clear" w:color="auto" w:fill="D9D9D9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Характеристики</w:t>
            </w:r>
          </w:p>
        </w:tc>
      </w:tr>
      <w:tr w:rsidR="00D53B5A" w:rsidRPr="00D53B5A" w:rsidTr="009A6B7A">
        <w:tc>
          <w:tcPr>
            <w:tcW w:w="2126" w:type="dxa"/>
            <w:shd w:val="clear" w:color="auto" w:fill="auto"/>
            <w:vAlign w:val="center"/>
          </w:tcPr>
          <w:p w:rsidR="00D53B5A" w:rsidRPr="00D53B5A" w:rsidRDefault="00D53B5A" w:rsidP="00D53B5A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ДОАС </w:t>
            </w:r>
            <w:r w:rsidR="00D06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–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ОПСИС</w:t>
            </w:r>
          </w:p>
          <w:p w:rsidR="00D53B5A" w:rsidRPr="00D53B5A" w:rsidRDefault="00D53B5A" w:rsidP="00D53B5A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938" w:type="dxa"/>
            <w:shd w:val="clear" w:color="auto" w:fill="auto"/>
          </w:tcPr>
          <w:p w:rsidR="00D53B5A" w:rsidRDefault="00E00DF5" w:rsidP="00E00DF5">
            <w:pPr>
              <w:spacing w:after="0" w:line="240" w:lineRule="auto"/>
              <w:ind w:firstLine="5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ДОАС - РИОСВ (диференциална оптична автоматична система) с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Eol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код BG0063A е разположена на сградата на РИОСВ Бургас, ул. "Перущица" №67, с географски координати: 42°30'38.13"N и 27°28'11.12"E. Пунктът е разположен в непосредствена близост до най-натоварената входно-изходна пътна артерия на гр. Бургас - участъка между МБАЛ и сградата на РИОСВ Бургас. Анализираният от нея район е под въздействието на интензивен автомобилен трафик, комунално-битова дейност, пренос на емисии от технологичната дейност на “Лукойл Нефтохим Бургас” АД и останалите промишлени предприятия в гр. Бургас, разположени в северната промишлена зона. Съгласно Заповед №РД-66/28.01.2013 г. на МОСВ пунктът е класифициран като: градски фонов пункт с обхват от 100 m до 2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km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5B7A5D" w:rsidRPr="005B7A5D" w:rsidRDefault="004C124E" w:rsidP="004C1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Резултатите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от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proofErr w:type="gram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пробовземането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 (</w:t>
            </w:r>
            <w:proofErr w:type="spellStart"/>
            <w:proofErr w:type="gram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ръчно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)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за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ФПЧ</w:t>
            </w:r>
            <w:r w:rsidRPr="00882D2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n-GB"/>
              </w:rPr>
              <w:t>10</w:t>
            </w:r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се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извеждат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ежедневно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, а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за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озон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пробовземането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автоматично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) е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на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всеки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час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</w:t>
            </w:r>
          </w:p>
        </w:tc>
      </w:tr>
      <w:tr w:rsidR="00D53B5A" w:rsidRPr="00D53B5A" w:rsidTr="009A6B7A">
        <w:tc>
          <w:tcPr>
            <w:tcW w:w="2126" w:type="dxa"/>
            <w:shd w:val="clear" w:color="auto" w:fill="auto"/>
            <w:vAlign w:val="center"/>
          </w:tcPr>
          <w:p w:rsidR="00D53B5A" w:rsidRPr="00D53B5A" w:rsidRDefault="00D53B5A" w:rsidP="00D53B5A">
            <w:pPr>
              <w:tabs>
                <w:tab w:val="num" w:pos="459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АИС „Меден Рудник”</w:t>
            </w:r>
          </w:p>
        </w:tc>
        <w:tc>
          <w:tcPr>
            <w:tcW w:w="7938" w:type="dxa"/>
            <w:shd w:val="clear" w:color="auto" w:fill="auto"/>
          </w:tcPr>
          <w:p w:rsidR="0008782A" w:rsidRDefault="008D4425" w:rsidP="00D55F17">
            <w:pPr>
              <w:spacing w:after="0" w:line="240" w:lineRule="auto"/>
              <w:ind w:firstLine="5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АИС „Меден Рудник“ с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Eol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код BG0056A се намира в комплекс „Меден Рудник“, разположена </w:t>
            </w:r>
            <w:r w:rsidR="000878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е </w:t>
            </w: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в двора на СОУ „Константин Преславски“ с географски координати: 42°27'24.09"N и 27°25'19.39"E. </w:t>
            </w:r>
          </w:p>
          <w:p w:rsidR="00D53B5A" w:rsidRDefault="008D4425" w:rsidP="00087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Със Заповед №РД-66/28.01.2013г. на МОСВ пунктът е класифициран като: градски фонов пункт и съгласно Приложение №1 към чл.10, ал.3 и 4 на </w:t>
            </w:r>
            <w:r w:rsidRPr="00F13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Наредба №7 за оценка и управление качеството на атмосферния въздух</w:t>
            </w: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за класификация на пунктовете за мониторинг е с обхват от 100 m до 2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km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 Чрез автоматичната измервателна станция се контролира районът на ж.к. “Меден Рудник</w:t>
            </w:r>
            <w:r w:rsidR="00D55F17" w:rsidRPr="00F131EB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55F17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Отчитат се емисии и от битовия сектор, тъй като к-с „Меден Рудник” не е включен в системата за централно топлоснабдяване, както и емисии и от други промишлени дейности</w:t>
            </w:r>
            <w:r w:rsidR="009A6B7A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4C124E" w:rsidRPr="00F131EB" w:rsidRDefault="004C124E" w:rsidP="00087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Резултатите от 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пробовземането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(автоматично) за ФПЧ</w:t>
            </w:r>
            <w:r w:rsidRPr="00882D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bg-BG"/>
              </w:rPr>
              <w:t>10</w:t>
            </w: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озон се извеждат ежечасно.</w:t>
            </w:r>
          </w:p>
        </w:tc>
      </w:tr>
      <w:tr w:rsidR="00D53B5A" w:rsidRPr="00D53B5A" w:rsidTr="009A6B7A">
        <w:tc>
          <w:tcPr>
            <w:tcW w:w="2126" w:type="dxa"/>
            <w:shd w:val="clear" w:color="auto" w:fill="auto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 xml:space="preserve">АИС „Долно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езерово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7938" w:type="dxa"/>
            <w:shd w:val="clear" w:color="auto" w:fill="auto"/>
          </w:tcPr>
          <w:p w:rsidR="00D53B5A" w:rsidRPr="006B2B62" w:rsidRDefault="006B2B62" w:rsidP="00D53B5A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АИС „Долно Езерово“ - Пунктът функционира като автоматична измервателна станция с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Eol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код BG</w:t>
            </w:r>
            <w:r w:rsidR="00953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0044A към НАСЕМ. Разположен е в 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кв. Долно Езерово, гр. Бургас, с географски координати: 42°31'8.02"N и 27°22'29.56"E. Районът основно попада под въздействието на промишлените инсталации на „ЛУКОЙЛ Нефтохим Бургас“ АД и промишлените предприятия, разположени източно от кв. Долно Езерово.</w:t>
            </w:r>
            <w:r w:rsidR="00684F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Съгласно Заповед №РД- 66/28.01.2013 г. на МОСВ пунктът е класифициран като: промишлен пункт с обхват 10-100 m и градски фонов пункт с обхват от 100 m до 2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km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D53B5A" w:rsidRPr="006B2B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 xml:space="preserve"> </w:t>
            </w:r>
          </w:p>
          <w:p w:rsidR="00D53B5A" w:rsidRPr="00D53B5A" w:rsidRDefault="004C124E" w:rsidP="00D5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Резултатите от 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пробовземането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(автоматично) за ФПЧ</w:t>
            </w:r>
            <w:r w:rsidRPr="00882D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bg-BG"/>
              </w:rPr>
              <w:t>10</w:t>
            </w: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озон се извеждат ежечасно.</w:t>
            </w:r>
          </w:p>
        </w:tc>
      </w:tr>
      <w:tr w:rsidR="00D53B5A" w:rsidRPr="00D53B5A" w:rsidTr="009A6B7A">
        <w:tc>
          <w:tcPr>
            <w:tcW w:w="2126" w:type="dxa"/>
            <w:shd w:val="clear" w:color="auto" w:fill="auto"/>
            <w:vAlign w:val="center"/>
          </w:tcPr>
          <w:p w:rsidR="00D53B5A" w:rsidRPr="00D53B5A" w:rsidRDefault="00D53B5A" w:rsidP="00D53B5A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АИС „Несебър”</w:t>
            </w:r>
          </w:p>
        </w:tc>
        <w:tc>
          <w:tcPr>
            <w:tcW w:w="7938" w:type="dxa"/>
            <w:shd w:val="clear" w:color="auto" w:fill="auto"/>
          </w:tcPr>
          <w:p w:rsidR="00D53B5A" w:rsidRPr="00D53B5A" w:rsidRDefault="00684FDB" w:rsidP="00D53B5A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АИС „Несебър е класифициран като а</w:t>
            </w:r>
            <w:r w:rsidR="00D53B5A"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втоматичен – градски фонов пункт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с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Eol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код BG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0071A към НАСЕМ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 географски координати: 42°31'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34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"N и 27°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43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'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15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51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"E.</w:t>
            </w:r>
            <w:r w:rsidR="00D53B5A"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CB409B" w:rsidRDefault="00D53B5A" w:rsidP="00CB409B">
            <w:pPr>
              <w:spacing w:after="0" w:line="240" w:lineRule="auto"/>
              <w:ind w:firstLine="58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Разположен е в </w:t>
            </w:r>
            <w:r w:rsidR="00684F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новата част на </w:t>
            </w:r>
            <w:r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гр. Несебър</w:t>
            </w:r>
            <w:r w:rsidR="00374A9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="0058590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непосредствена близост до </w:t>
            </w:r>
            <w:r w:rsidR="00684F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пътна артерия – ул. „Иван Вазов“ и на 180 м. от ул. „Хан Крум“. По последната се осъществява връзката на старата част на гр. Несебър с общинската и републиканската пътни мрежи.</w:t>
            </w:r>
            <w:r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5735A5"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Пункта е без преобладаващо влияние на емисии от производствени дейности. Обхвата на ПМ „АИС – Несебър“ е от 100 m до 2 </w:t>
            </w:r>
            <w:proofErr w:type="spellStart"/>
            <w:r w:rsidR="005735A5"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km</w:t>
            </w:r>
            <w:proofErr w:type="spellEnd"/>
            <w:r w:rsidR="005735A5"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4C124E" w:rsidRPr="00374A9F" w:rsidRDefault="004C124E" w:rsidP="00CB409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Резултатите от </w:t>
            </w:r>
            <w:proofErr w:type="spellStart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пробовземането</w:t>
            </w:r>
            <w:proofErr w:type="spellEnd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(автоматично) за ФПЧ</w:t>
            </w:r>
            <w:r w:rsidRPr="00882D26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  <w:lang w:eastAsia="ja-JP"/>
              </w:rPr>
              <w:t>10</w:t>
            </w:r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озон се извеждат ежечасно.</w:t>
            </w:r>
          </w:p>
        </w:tc>
      </w:tr>
    </w:tbl>
    <w:p w:rsidR="00D53B5A" w:rsidRDefault="00D53B5A"/>
    <w:p w:rsidR="00D53B5A" w:rsidRPr="00D53B5A" w:rsidRDefault="00D71EE4" w:rsidP="00D53B5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D53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РЕГИСТРИРАНИ НИВА НА ФПЧ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10  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В  ПЕРИОДА ОТ  01.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CD00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 xml:space="preserve"> ÷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CD00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5907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EC00AE" w:rsidRDefault="00EC00AE" w:rsidP="00EC00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B5A" w:rsidRPr="004C5C05" w:rsidRDefault="00EC1F6B" w:rsidP="004C5C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 основа на  данните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proofErr w:type="spellStart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пробонабиране</w:t>
      </w:r>
      <w:proofErr w:type="spellEnd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извършено в периода 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</w:t>
      </w:r>
      <w:r w:rsid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10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.201</w:t>
      </w:r>
      <w:r w:rsidR="00CD003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9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÷ 3</w:t>
      </w:r>
      <w:r w:rsid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.0</w:t>
      </w:r>
      <w:r w:rsid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</w:t>
      </w:r>
      <w:r w:rsidR="00CD003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20</w:t>
      </w:r>
      <w:r w:rsidR="00EC00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пунктовете за мониторинг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ДОАС-ОПСИС, АИС „Меден Рудник”, АИС „Долно Езерово”,</w:t>
      </w:r>
      <w:r w:rsidR="00982A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АИС „Несебър” е извършена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оценка на регистрираните нива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D53B5A" w:rsidRPr="00D53B5A">
        <w:rPr>
          <w:rFonts w:ascii="Times New Roman" w:eastAsia="Times New Roman" w:hAnsi="Times New Roman" w:cs="Times New Roman"/>
          <w:b/>
          <w:sz w:val="24"/>
          <w:szCs w:val="24"/>
        </w:rPr>
        <w:t>ФПЧ</w:t>
      </w:r>
      <w:r w:rsidR="00D53B5A" w:rsidRPr="00D53B5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10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е направено съпоставяне с СДН за опазване на човешкото здраве (5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0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6D"/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g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3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D53B5A"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определена в </w:t>
      </w:r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Наредба № 12/15.07.2010 за норми за серен диоксид, азотен диоксид, фини прахови частици, олово, бензен, въглероден оксид и озон в атмосферния въздух (обн. в ДВ бр. 58/30.07.2010 г.)</w:t>
      </w:r>
      <w:r w:rsidR="00534047">
        <w:rPr>
          <w:rFonts w:ascii="Times New Roman" w:eastAsia="Times New Roman" w:hAnsi="Times New Roman" w:cs="Times New Roman"/>
          <w:sz w:val="24"/>
          <w:szCs w:val="24"/>
          <w:lang w:eastAsia="bg-BG"/>
        </w:rPr>
        <w:t>(Наредба №12)</w:t>
      </w:r>
      <w:r w:rsidR="00D53B5A" w:rsidRPr="00D53B5A">
        <w:rPr>
          <w:rFonts w:ascii="Times New Roman" w:eastAsia="Times New Roman" w:hAnsi="Times New Roman" w:cs="Times New Roman"/>
          <w:b/>
          <w:lang w:val="en-US" w:eastAsia="bg-BG"/>
        </w:rPr>
        <w:t xml:space="preserve">                                                         </w:t>
      </w:r>
    </w:p>
    <w:p w:rsidR="00EC00AE" w:rsidRDefault="00EC00AE" w:rsidP="00935D8A">
      <w:pPr>
        <w:spacing w:after="0" w:line="240" w:lineRule="auto"/>
        <w:ind w:left="7920" w:firstLine="720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D53B5A" w:rsidRPr="00D53B5A" w:rsidRDefault="00D53B5A" w:rsidP="004C5C05">
      <w:pPr>
        <w:spacing w:after="0" w:line="240" w:lineRule="auto"/>
        <w:ind w:left="7920" w:firstLine="72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lang w:eastAsia="bg-BG"/>
        </w:rPr>
        <w:t>Табл. 4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329"/>
        <w:gridCol w:w="1750"/>
        <w:gridCol w:w="2300"/>
      </w:tblGrid>
      <w:tr w:rsidR="00D53B5A" w:rsidRPr="00D53B5A" w:rsidTr="00D53B5A">
        <w:trPr>
          <w:trHeight w:val="33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B340D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ДОАС-ОПСИС</w:t>
            </w:r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- </w:t>
            </w:r>
            <w:proofErr w:type="spellStart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фини</w:t>
            </w:r>
            <w:proofErr w:type="spellEnd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праховни</w:t>
            </w:r>
            <w:proofErr w:type="spellEnd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частици</w:t>
            </w:r>
            <w:proofErr w:type="spellEnd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(</w:t>
            </w:r>
            <w:r w:rsidR="00D53B5A" w:rsidRPr="00D53B5A">
              <w:rPr>
                <w:rFonts w:ascii="Times New Roman" w:eastAsia="Times New Roman" w:hAnsi="Times New Roman" w:cs="Times New Roman"/>
                <w:b/>
              </w:rPr>
              <w:t>ФПЧ</w:t>
            </w:r>
            <w:r w:rsidR="00D53B5A" w:rsidRPr="00D53B5A">
              <w:rPr>
                <w:rFonts w:ascii="Times New Roman" w:eastAsia="Times New Roman" w:hAnsi="Times New Roman" w:cs="Times New Roman"/>
                <w:b/>
                <w:vertAlign w:val="subscript"/>
              </w:rPr>
              <w:t>10</w:t>
            </w:r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)</w:t>
            </w:r>
          </w:p>
        </w:tc>
      </w:tr>
      <w:tr w:rsidR="00D53B5A" w:rsidRPr="00A45E23" w:rsidTr="00D53B5A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месец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</w:p>
        </w:tc>
      </w:tr>
      <w:tr w:rsidR="00D53B5A" w:rsidRPr="00A45E23" w:rsidTr="00D53B5A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концетрация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регистрирани</w:t>
            </w:r>
            <w:proofErr w:type="spellEnd"/>
          </w:p>
        </w:tc>
      </w:tr>
      <w:tr w:rsidR="00D53B5A" w:rsidRPr="00A45E23" w:rsidTr="00D53B5A">
        <w:trPr>
          <w:trHeight w:val="18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[µg/m3] 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концентрация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[µg/m3]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СДН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данни</w:t>
            </w:r>
            <w:proofErr w:type="spellEnd"/>
          </w:p>
        </w:tc>
      </w:tr>
      <w:tr w:rsidR="00D53B5A" w:rsidRPr="00D53B5A" w:rsidTr="002E427F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E11FA" w:rsidP="0008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25,42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DE11F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49,2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935D8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982A2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DE11F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D53B5A" w:rsidRPr="00D53B5A" w:rsidTr="002E427F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E11F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32,24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DE11F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61,0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DE11F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DE11F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</w:tr>
      <w:tr w:rsidR="00D53B5A" w:rsidRPr="00D53B5A" w:rsidTr="002E427F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E11F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34,81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116,2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</w:tr>
      <w:tr w:rsidR="00D53B5A" w:rsidRPr="00D53B5A" w:rsidTr="002E427F">
        <w:trPr>
          <w:trHeight w:val="28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37,19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2E427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72,5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2E427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2E427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</w:tr>
      <w:tr w:rsidR="00D53B5A" w:rsidRPr="00D53B5A" w:rsidTr="002E427F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2E427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32,36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2E427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81,8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2E427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2E427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</w:tr>
      <w:tr w:rsidR="00D53B5A" w:rsidRPr="00D53B5A" w:rsidTr="006D3CC8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3B5A" w:rsidRPr="006D3CC8" w:rsidRDefault="006D3CC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39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,87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B5A" w:rsidRPr="00031C8A" w:rsidRDefault="006D3CC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125,0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B5A" w:rsidRPr="006D3CC8" w:rsidRDefault="006D3CC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B5A" w:rsidRPr="002B29D5" w:rsidRDefault="002B29D5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</w:pPr>
            <w:r w:rsidRPr="006D3CC8"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D53B5A" w:rsidRPr="00D53B5A" w:rsidTr="006D3CC8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0E2E24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общо</w:t>
            </w:r>
            <w:r w:rsidR="00D53B5A"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D53B5A"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за</w:t>
            </w:r>
            <w:proofErr w:type="spellEnd"/>
            <w:r w:rsidR="00D53B5A"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53B5A" w:rsidRPr="006D3CC8" w:rsidRDefault="002B29D5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1</w:t>
            </w:r>
            <w:r w:rsidR="006D3CC8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3B5A" w:rsidRPr="002B29D5" w:rsidRDefault="002B29D5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182</w:t>
            </w:r>
          </w:p>
        </w:tc>
      </w:tr>
      <w:tr w:rsidR="00D53B5A" w:rsidRPr="00D53B5A" w:rsidTr="002B29D5">
        <w:trPr>
          <w:trHeight w:val="8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</w:tbl>
    <w:p w:rsidR="00D53B5A" w:rsidRPr="00DE38A7" w:rsidRDefault="00B340DB" w:rsidP="00D53B5A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8A7"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="00D53B5A" w:rsidRPr="00DE38A7">
        <w:rPr>
          <w:rFonts w:ascii="Times New Roman" w:eastAsia="Times New Roman" w:hAnsi="Times New Roman" w:cs="Times New Roman"/>
          <w:sz w:val="24"/>
          <w:szCs w:val="24"/>
        </w:rPr>
        <w:t>т представените данни в</w:t>
      </w:r>
      <w:r w:rsidR="00D53B5A" w:rsidRPr="00DE38A7">
        <w:rPr>
          <w:rFonts w:ascii="Times New Roman" w:eastAsia="Times New Roman" w:hAnsi="Times New Roman" w:cs="Times New Roman"/>
          <w:i/>
          <w:sz w:val="24"/>
          <w:szCs w:val="24"/>
        </w:rPr>
        <w:t xml:space="preserve"> таблица 4 </w:t>
      </w:r>
      <w:r w:rsidR="00D53B5A" w:rsidRPr="00DE38A7">
        <w:rPr>
          <w:rFonts w:ascii="Times New Roman" w:eastAsia="Times New Roman" w:hAnsi="Times New Roman" w:cs="Times New Roman"/>
          <w:sz w:val="24"/>
          <w:szCs w:val="24"/>
        </w:rPr>
        <w:t xml:space="preserve">е видно, че </w:t>
      </w:r>
      <w:r w:rsidRPr="00DE38A7">
        <w:rPr>
          <w:rFonts w:ascii="Times New Roman" w:eastAsia="Times New Roman" w:hAnsi="Times New Roman" w:cs="Times New Roman"/>
          <w:sz w:val="24"/>
          <w:szCs w:val="24"/>
        </w:rPr>
        <w:t>за ДОАС-ОПСИС</w:t>
      </w:r>
      <w:r w:rsidRPr="00DE38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53B5A" w:rsidRPr="00DE38A7">
        <w:rPr>
          <w:rFonts w:ascii="Times New Roman" w:eastAsia="Times New Roman" w:hAnsi="Times New Roman" w:cs="Times New Roman"/>
          <w:sz w:val="24"/>
          <w:szCs w:val="24"/>
        </w:rPr>
        <w:t xml:space="preserve">през </w:t>
      </w:r>
      <w:r w:rsidR="001C556D" w:rsidRPr="00DE38A7">
        <w:rPr>
          <w:rFonts w:ascii="Times New Roman" w:eastAsia="Times New Roman" w:hAnsi="Times New Roman" w:cs="Times New Roman"/>
          <w:sz w:val="24"/>
          <w:szCs w:val="24"/>
        </w:rPr>
        <w:t>зимното</w:t>
      </w:r>
      <w:r w:rsidR="00D53B5A" w:rsidRPr="00DE38A7">
        <w:rPr>
          <w:rFonts w:ascii="Times New Roman" w:eastAsia="Times New Roman" w:hAnsi="Times New Roman" w:cs="Times New Roman"/>
          <w:sz w:val="24"/>
          <w:szCs w:val="24"/>
        </w:rPr>
        <w:t xml:space="preserve"> полугодие са регистрирани 1</w:t>
      </w:r>
      <w:r w:rsidR="006D3CC8">
        <w:rPr>
          <w:rFonts w:ascii="Times New Roman" w:eastAsia="Times New Roman" w:hAnsi="Times New Roman" w:cs="Times New Roman"/>
          <w:sz w:val="24"/>
          <w:szCs w:val="24"/>
          <w:lang w:val="en-US"/>
        </w:rPr>
        <w:t>82</w:t>
      </w:r>
      <w:r w:rsidR="00D53B5A" w:rsidRPr="00DE38A7">
        <w:rPr>
          <w:rFonts w:ascii="Times New Roman" w:eastAsia="Times New Roman" w:hAnsi="Times New Roman" w:cs="Times New Roman"/>
          <w:sz w:val="24"/>
          <w:szCs w:val="24"/>
        </w:rPr>
        <w:t xml:space="preserve"> валидни средноденонощни стойности и са отчетени </w:t>
      </w:r>
      <w:r w:rsidRPr="00DE38A7">
        <w:rPr>
          <w:rFonts w:ascii="Times New Roman" w:eastAsia="Times New Roman" w:hAnsi="Times New Roman" w:cs="Times New Roman"/>
          <w:sz w:val="24"/>
          <w:szCs w:val="24"/>
        </w:rPr>
        <w:t>1</w:t>
      </w:r>
      <w:r w:rsidR="006D3CC8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00D53B5A" w:rsidRPr="00DE38A7">
        <w:rPr>
          <w:rFonts w:ascii="Times New Roman" w:eastAsia="Times New Roman" w:hAnsi="Times New Roman" w:cs="Times New Roman"/>
          <w:sz w:val="24"/>
          <w:szCs w:val="24"/>
        </w:rPr>
        <w:t xml:space="preserve"> броя превишения на праговата стойност (ПС) на средноденонощната норма (СДН) на </w:t>
      </w:r>
      <w:r w:rsidR="00D53B5A" w:rsidRPr="00DE38A7">
        <w:rPr>
          <w:rFonts w:ascii="Times New Roman" w:eastAsia="Times New Roman" w:hAnsi="Times New Roman" w:cs="Times New Roman"/>
          <w:sz w:val="26"/>
          <w:szCs w:val="26"/>
        </w:rPr>
        <w:t>ФПЧ</w:t>
      </w:r>
      <w:r w:rsidR="00D53B5A" w:rsidRPr="00DE38A7">
        <w:rPr>
          <w:rFonts w:ascii="Times New Roman" w:eastAsia="Times New Roman" w:hAnsi="Times New Roman" w:cs="Times New Roman"/>
          <w:sz w:val="26"/>
          <w:szCs w:val="26"/>
          <w:vertAlign w:val="subscript"/>
        </w:rPr>
        <w:t>10.</w:t>
      </w:r>
      <w:r w:rsidR="00D53B5A" w:rsidRPr="00DE3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3B5A" w:rsidRP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030B" w:rsidRPr="00215280" w:rsidRDefault="00F240B5" w:rsidP="002152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За АИС „Меден Рудник“ б</w:t>
      </w:r>
      <w:r w:rsidR="00D53B5A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роя  на  </w:t>
      </w:r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>регистрираните</w:t>
      </w:r>
      <w:r w:rsidR="00D53B5A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 валидни </w:t>
      </w:r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 xml:space="preserve">средноденонощни стойности </w:t>
      </w:r>
      <w:r w:rsidR="00ED21D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C037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215280">
        <w:rPr>
          <w:rFonts w:ascii="Times New Roman" w:eastAsia="Times New Roman" w:hAnsi="Times New Roman" w:cs="Times New Roman"/>
          <w:sz w:val="24"/>
          <w:szCs w:val="24"/>
        </w:rPr>
        <w:t>9</w:t>
      </w:r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3B5A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ED5D14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Общият брой на регистрираните превишения на СДН е </w:t>
      </w:r>
      <w:r w:rsidR="002152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11</w:t>
      </w:r>
      <w:r w:rsidR="00ED5D14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. </w:t>
      </w:r>
      <w:r w:rsidR="00D53B5A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Данните са представени в </w:t>
      </w:r>
      <w:r w:rsidR="00D53B5A" w:rsidRPr="00EC1F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GB"/>
        </w:rPr>
        <w:t>таблица 5</w:t>
      </w:r>
      <w:r w:rsidR="00215280">
        <w:rPr>
          <w:rFonts w:ascii="Times New Roman" w:eastAsia="Times New Roman" w:hAnsi="Times New Roman" w:cs="Times New Roman"/>
          <w:b/>
          <w:i/>
        </w:rPr>
        <w:t>.</w:t>
      </w:r>
      <w:r w:rsidR="00D53B5A" w:rsidRPr="00D53B5A">
        <w:rPr>
          <w:rFonts w:ascii="Times New Roman" w:eastAsia="Times New Roman" w:hAnsi="Times New Roman" w:cs="Times New Roman"/>
          <w:b/>
          <w:i/>
        </w:rPr>
        <w:t xml:space="preserve">               </w:t>
      </w:r>
    </w:p>
    <w:p w:rsidR="006A6442" w:rsidRDefault="0050030B" w:rsidP="00D53B5A">
      <w:p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 w:rsidR="00D53B5A" w:rsidRPr="00D53B5A">
        <w:rPr>
          <w:rFonts w:ascii="Times New Roman" w:eastAsia="Times New Roman" w:hAnsi="Times New Roman" w:cs="Times New Roman"/>
          <w:b/>
          <w:i/>
        </w:rPr>
        <w:t xml:space="preserve">  </w:t>
      </w:r>
    </w:p>
    <w:p w:rsidR="00D53B5A" w:rsidRPr="00D53B5A" w:rsidRDefault="006A6442" w:rsidP="004C5C05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 w:rsidR="00D53B5A" w:rsidRPr="00D53B5A">
        <w:rPr>
          <w:rFonts w:ascii="Times New Roman" w:eastAsia="Times New Roman" w:hAnsi="Times New Roman" w:cs="Times New Roman"/>
          <w:b/>
        </w:rPr>
        <w:t>Табл. 5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765"/>
        <w:gridCol w:w="2204"/>
      </w:tblGrid>
      <w:tr w:rsidR="00D53B5A" w:rsidRPr="00D53B5A" w:rsidTr="00D53B5A">
        <w:trPr>
          <w:trHeight w:val="31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АИС 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„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Меден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Рудник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“ -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фини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прахови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частици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(ФПЧ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val="en-GB" w:eastAsia="en-GB"/>
              </w:rPr>
              <w:t>10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)</w:t>
            </w:r>
          </w:p>
        </w:tc>
      </w:tr>
      <w:tr w:rsidR="00D53B5A" w:rsidRPr="00A45E23" w:rsidTr="00D53B5A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месец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</w:p>
        </w:tc>
      </w:tr>
      <w:tr w:rsidR="00D53B5A" w:rsidRPr="00D53B5A" w:rsidTr="00D53B5A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конце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н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трация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регистрирани</w:t>
            </w:r>
            <w:proofErr w:type="spellEnd"/>
          </w:p>
        </w:tc>
      </w:tr>
      <w:tr w:rsidR="00D53B5A" w:rsidRPr="00D53B5A" w:rsidTr="00D53B5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[µg/m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  <w:lang w:val="en-GB" w:eastAsia="en-GB"/>
              </w:rPr>
              <w:t>3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к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[µg/m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  <w:lang w:val="en-GB" w:eastAsia="en-GB"/>
              </w:rPr>
              <w:t>3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]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СДН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данни</w:t>
            </w:r>
            <w:proofErr w:type="spellEnd"/>
          </w:p>
        </w:tc>
      </w:tr>
      <w:tr w:rsidR="000E2E24" w:rsidRPr="00D53B5A" w:rsidTr="002E427F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7611DA" w:rsidP="002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1C556D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48,29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</w:tr>
      <w:tr w:rsidR="000E2E24" w:rsidRPr="00D53B5A" w:rsidTr="002E427F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18,01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36,84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</w:p>
        </w:tc>
      </w:tr>
      <w:tr w:rsidR="000E2E24" w:rsidRPr="00D53B5A" w:rsidTr="002E427F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21,19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51,07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</w:t>
            </w:r>
          </w:p>
        </w:tc>
      </w:tr>
      <w:tr w:rsidR="00C03788" w:rsidRPr="00D53B5A" w:rsidTr="002E427F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788" w:rsidRPr="00D53B5A" w:rsidRDefault="00C03788" w:rsidP="00C03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03788" w:rsidRPr="00D53B5A" w:rsidRDefault="002E427F" w:rsidP="00C0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33,64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788" w:rsidRPr="00D53B5A" w:rsidRDefault="002E427F" w:rsidP="00C0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67,39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788" w:rsidRPr="00D53B5A" w:rsidRDefault="002E427F" w:rsidP="00C0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03788" w:rsidRPr="00D53B5A" w:rsidRDefault="002E427F" w:rsidP="00C0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2E427F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2E427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25,16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2E427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74,48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2E427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2E427F" w:rsidP="002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29</w:t>
            </w:r>
          </w:p>
        </w:tc>
      </w:tr>
      <w:tr w:rsidR="000E2E24" w:rsidRPr="00D53B5A" w:rsidTr="002E427F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2E427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27,99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2E427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117,1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2E427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2E427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</w:p>
        </w:tc>
      </w:tr>
      <w:tr w:rsidR="00215280" w:rsidRPr="00D53B5A" w:rsidTr="0016263A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280" w:rsidRPr="00D53B5A" w:rsidRDefault="00215280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общо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5280" w:rsidRPr="00D53B5A" w:rsidRDefault="00215280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15280" w:rsidRPr="00D53B5A" w:rsidRDefault="00215280" w:rsidP="0021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15280" w:rsidRPr="00A45E23" w:rsidRDefault="00215280" w:rsidP="0021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11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15280" w:rsidRPr="00A45E23" w:rsidRDefault="00215280" w:rsidP="00215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              179</w:t>
            </w:r>
          </w:p>
        </w:tc>
      </w:tr>
      <w:tr w:rsidR="00215280" w:rsidRPr="00D53B5A" w:rsidTr="00215280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280" w:rsidRPr="00D53B5A" w:rsidRDefault="00215280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5280" w:rsidRPr="00D53B5A" w:rsidRDefault="00215280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15280" w:rsidRPr="00D53B5A" w:rsidRDefault="00215280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65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15280" w:rsidRPr="00D53B5A" w:rsidRDefault="00215280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15280" w:rsidRPr="00D53B5A" w:rsidRDefault="00215280" w:rsidP="0021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</w:tbl>
    <w:p w:rsidR="00D53B5A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ED5D14" w:rsidRDefault="00ED5D14" w:rsidP="00D53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53B5A" w:rsidRPr="00D53B5A" w:rsidRDefault="00AE21DF" w:rsidP="00D53B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 АИС „Долно Езерово“ п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 отчетния период са регистрирани 1</w:t>
      </w:r>
      <w:r w:rsidR="004A5102">
        <w:rPr>
          <w:rFonts w:ascii="Times New Roman" w:eastAsia="Times New Roman" w:hAnsi="Times New Roman" w:cs="Times New Roman"/>
          <w:sz w:val="24"/>
          <w:szCs w:val="24"/>
          <w:lang w:eastAsia="ar-SA"/>
        </w:rPr>
        <w:t>81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валидни средноденонощни стойности, като броят на регистрираните превишения на средноденонощната норма на Ф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</w:rPr>
        <w:t>ПЧ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r w:rsidR="004A5102">
        <w:rPr>
          <w:rFonts w:ascii="Times New Roman" w:eastAsia="Times New Roman" w:hAnsi="Times New Roman" w:cs="Times New Roman"/>
          <w:sz w:val="24"/>
          <w:szCs w:val="24"/>
        </w:rPr>
        <w:t>52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</w:rPr>
        <w:t>таблица 6).</w:t>
      </w:r>
    </w:p>
    <w:p w:rsidR="006A6442" w:rsidRDefault="006A6442" w:rsidP="00D53B5A">
      <w:pPr>
        <w:tabs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:rsidR="00D53B5A" w:rsidRPr="00D53B5A" w:rsidRDefault="00D53B5A" w:rsidP="004C5C05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D53B5A">
        <w:rPr>
          <w:rFonts w:ascii="Times New Roman" w:eastAsia="Times New Roman" w:hAnsi="Times New Roman" w:cs="Times New Roman"/>
          <w:i/>
        </w:rPr>
        <w:tab/>
      </w:r>
      <w:r w:rsidRPr="00D53B5A">
        <w:rPr>
          <w:rFonts w:ascii="Times New Roman" w:eastAsia="Times New Roman" w:hAnsi="Times New Roman" w:cs="Times New Roman"/>
          <w:b/>
        </w:rPr>
        <w:t>Табл. 6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765"/>
        <w:gridCol w:w="2204"/>
      </w:tblGrid>
      <w:tr w:rsidR="00D53B5A" w:rsidRPr="00D53B5A" w:rsidTr="00D53B5A">
        <w:trPr>
          <w:trHeight w:val="31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АИС 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„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Долно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Езерово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“ -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фини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прахови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частици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(ФПЧ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GB" w:eastAsia="en-GB"/>
              </w:rPr>
              <w:t>10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)</w:t>
            </w:r>
          </w:p>
        </w:tc>
      </w:tr>
      <w:tr w:rsidR="00D53B5A" w:rsidRPr="00A45E23" w:rsidTr="00D53B5A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месец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Брой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Брой</w:t>
            </w:r>
            <w:proofErr w:type="spellEnd"/>
          </w:p>
        </w:tc>
      </w:tr>
      <w:tr w:rsidR="00D53B5A" w:rsidRPr="00D53B5A" w:rsidTr="00D53B5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конце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eastAsia="en-GB"/>
              </w:rPr>
              <w:t>н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трация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регистрирани</w:t>
            </w:r>
            <w:proofErr w:type="spellEnd"/>
          </w:p>
        </w:tc>
      </w:tr>
      <w:tr w:rsidR="00D53B5A" w:rsidRPr="00D53B5A" w:rsidTr="00D53B5A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[µg/m</w:t>
            </w:r>
            <w:r w:rsidRPr="00A45E23">
              <w:rPr>
                <w:rFonts w:ascii="Times New Roman" w:eastAsia="Times New Roman" w:hAnsi="Times New Roman" w:cs="Times New Roman"/>
                <w:i/>
                <w:vertAlign w:val="superscript"/>
                <w:lang w:val="en-GB" w:eastAsia="en-GB"/>
              </w:rPr>
              <w:t>3</w:t>
            </w: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eastAsia="en-GB"/>
              </w:rPr>
              <w:t>к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 </w:t>
            </w: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[µg/m</w:t>
            </w:r>
            <w:r w:rsidRPr="00A45E23">
              <w:rPr>
                <w:rFonts w:ascii="Times New Roman" w:eastAsia="Times New Roman" w:hAnsi="Times New Roman" w:cs="Times New Roman"/>
                <w:i/>
                <w:vertAlign w:val="superscript"/>
                <w:lang w:val="en-GB" w:eastAsia="en-GB"/>
              </w:rPr>
              <w:t>3</w:t>
            </w: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]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СДН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данни</w:t>
            </w:r>
            <w:proofErr w:type="spellEnd"/>
          </w:p>
        </w:tc>
      </w:tr>
      <w:tr w:rsidR="000E2E24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E2E24" w:rsidRPr="00D53B5A" w:rsidRDefault="00CD0031" w:rsidP="00CF18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D0031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39,86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D0031" w:rsidP="0054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54537A" w:rsidRDefault="00C037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  <w:r w:rsidR="00CD0031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  <w:tr w:rsidR="000E2E24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E2E24" w:rsidRPr="00D53B5A" w:rsidRDefault="00CD0031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D0031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53,43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D0031" w:rsidP="00CF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D0031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</w:p>
        </w:tc>
      </w:tr>
      <w:tr w:rsidR="000E2E24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E2E24" w:rsidRPr="00D53B5A" w:rsidRDefault="00CD0031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2F6C8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81,08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4537A" w:rsidP="00CF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  <w:r w:rsidR="002F6C8A"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2F6C8A" w:rsidP="00CF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  <w:r w:rsidR="00CF1807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  <w:tr w:rsidR="000E2E24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E2E24" w:rsidRPr="00D53B5A" w:rsidRDefault="00215280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215280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106,94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A5102" w:rsidP="00B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A5102" w:rsidP="00B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E2E24" w:rsidRPr="00D53B5A" w:rsidRDefault="004A5102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A510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96,41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A5102" w:rsidP="00B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A5102" w:rsidP="00B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29</w:t>
            </w:r>
          </w:p>
        </w:tc>
      </w:tr>
      <w:tr w:rsidR="000E2E24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E2E24" w:rsidRPr="00D53B5A" w:rsidRDefault="004A5102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A510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248,8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A5102" w:rsidP="00B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A510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29</w:t>
            </w:r>
          </w:p>
        </w:tc>
      </w:tr>
      <w:tr w:rsidR="00D53B5A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общо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A45E23" w:rsidRDefault="004A510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52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A45E23" w:rsidRDefault="004A5102" w:rsidP="00FC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181</w:t>
            </w:r>
          </w:p>
        </w:tc>
      </w:tr>
      <w:tr w:rsidR="00D53B5A" w:rsidRPr="00D53B5A" w:rsidTr="00D53B5A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</w:p>
        </w:tc>
      </w:tr>
    </w:tbl>
    <w:p w:rsidR="006A6442" w:rsidRPr="00AB1630" w:rsidRDefault="006A6442" w:rsidP="00D53B5A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en-GB"/>
        </w:rPr>
      </w:pPr>
    </w:p>
    <w:p w:rsidR="00DD0A09" w:rsidRDefault="00DD0A09" w:rsidP="004C5C05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4C5C05" w:rsidRPr="0003672E" w:rsidRDefault="00D53B5A" w:rsidP="004C5C05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D14B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В </w:t>
      </w:r>
      <w:r w:rsidRPr="007D14B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АИС "</w:t>
      </w:r>
      <w:proofErr w:type="spellStart"/>
      <w:r w:rsidRPr="007D14B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Несебър</w:t>
      </w:r>
      <w:proofErr w:type="spellEnd"/>
      <w:r w:rsidRPr="007D14B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"</w:t>
      </w:r>
      <w:r w:rsidRPr="007D14B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са отчетени</w:t>
      </w:r>
      <w:r w:rsidRPr="007D14B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DE717E">
        <w:rPr>
          <w:rFonts w:ascii="Times New Roman" w:eastAsia="MS Mincho" w:hAnsi="Times New Roman" w:cs="Times New Roman"/>
          <w:sz w:val="24"/>
          <w:szCs w:val="24"/>
          <w:lang w:eastAsia="ja-JP"/>
        </w:rPr>
        <w:t>1</w:t>
      </w:r>
      <w:r w:rsidR="00A75229">
        <w:rPr>
          <w:rFonts w:ascii="Times New Roman" w:eastAsia="MS Mincho" w:hAnsi="Times New Roman" w:cs="Times New Roman"/>
          <w:sz w:val="24"/>
          <w:szCs w:val="24"/>
          <w:lang w:eastAsia="ja-JP"/>
        </w:rPr>
        <w:t>83</w:t>
      </w:r>
      <w:r w:rsidRPr="007D14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>валидни средноденонощни стойности. Регистрираните превишения  на  средноденонощната норма на Ф</w:t>
      </w:r>
      <w:r w:rsidRPr="007D14B8">
        <w:rPr>
          <w:rFonts w:ascii="Times New Roman" w:eastAsia="Times New Roman" w:hAnsi="Times New Roman" w:cs="Times New Roman"/>
          <w:sz w:val="24"/>
          <w:szCs w:val="24"/>
        </w:rPr>
        <w:t>ПЧ</w:t>
      </w:r>
      <w:r w:rsidRPr="007D14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7D14B8">
        <w:rPr>
          <w:rFonts w:ascii="Times New Roman" w:eastAsia="Times New Roman" w:hAnsi="Times New Roman" w:cs="Times New Roman"/>
          <w:sz w:val="24"/>
          <w:szCs w:val="24"/>
        </w:rPr>
        <w:t xml:space="preserve"> са </w:t>
      </w:r>
      <w:r w:rsidR="00A75229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7D1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4B8">
        <w:rPr>
          <w:rFonts w:ascii="Times New Roman" w:eastAsia="Times New Roman" w:hAnsi="Times New Roman" w:cs="Times New Roman"/>
          <w:i/>
          <w:sz w:val="24"/>
          <w:szCs w:val="24"/>
        </w:rPr>
        <w:t>(таблица 7)</w:t>
      </w:r>
      <w:r w:rsidR="000367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672E" w:rsidRDefault="00D53B5A" w:rsidP="0003672E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53B5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D53B5A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03672E" w:rsidRDefault="0003672E" w:rsidP="0003672E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60C2D" w:rsidRDefault="00560C2D" w:rsidP="0003672E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53B5A" w:rsidRPr="00D53B5A" w:rsidRDefault="004C5C05" w:rsidP="0003672E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/>
          <w:lang w:eastAsia="ja-JP"/>
        </w:rPr>
      </w:pPr>
      <w:r>
        <w:rPr>
          <w:rFonts w:ascii="Times New Roman" w:eastAsia="MS Mincho" w:hAnsi="Times New Roman" w:cs="Times New Roman"/>
          <w:b/>
          <w:lang w:eastAsia="ja-JP"/>
        </w:rPr>
        <w:lastRenderedPageBreak/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 w:rsidR="0003672E">
        <w:rPr>
          <w:rFonts w:ascii="Times New Roman" w:eastAsia="MS Mincho" w:hAnsi="Times New Roman" w:cs="Times New Roman"/>
          <w:b/>
          <w:lang w:eastAsia="ja-JP"/>
        </w:rPr>
        <w:tab/>
      </w:r>
      <w:r w:rsidR="00D53B5A" w:rsidRPr="00D53B5A">
        <w:rPr>
          <w:rFonts w:ascii="Times New Roman" w:eastAsia="MS Mincho" w:hAnsi="Times New Roman" w:cs="Times New Roman"/>
          <w:b/>
          <w:lang w:eastAsia="ja-JP"/>
        </w:rPr>
        <w:t>Табл. 7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410"/>
        <w:gridCol w:w="1750"/>
        <w:gridCol w:w="2219"/>
      </w:tblGrid>
      <w:tr w:rsidR="00D53B5A" w:rsidRPr="00D53B5A" w:rsidTr="00D53B5A">
        <w:trPr>
          <w:trHeight w:val="33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АИС "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Несебър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"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-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фини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праховни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частици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(ФПЧ10)</w:t>
            </w:r>
          </w:p>
        </w:tc>
      </w:tr>
      <w:tr w:rsidR="00D53B5A" w:rsidRPr="00A45E23" w:rsidTr="00D53B5A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месец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Брой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Брой</w:t>
            </w:r>
            <w:proofErr w:type="spellEnd"/>
          </w:p>
        </w:tc>
      </w:tr>
      <w:tr w:rsidR="00D53B5A" w:rsidRPr="00A45E23" w:rsidTr="00D53B5A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концетрация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регистрирани</w:t>
            </w:r>
            <w:proofErr w:type="spellEnd"/>
          </w:p>
        </w:tc>
      </w:tr>
      <w:tr w:rsidR="00D53B5A" w:rsidRPr="00A45E23" w:rsidTr="000B0784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[µg/m3]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концентрация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[µg/m3]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СДН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данни</w:t>
            </w:r>
            <w:proofErr w:type="spellEnd"/>
          </w:p>
        </w:tc>
      </w:tr>
      <w:tr w:rsidR="000E2E24" w:rsidRPr="00D53B5A" w:rsidTr="000B078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7611DA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24,03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7611DA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38,41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7611DA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31,21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7611DA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51,36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7611DA" w:rsidRDefault="007611DA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32,16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7611DA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64,35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387AA5" w:rsidRDefault="000959EF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38,28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0959EF" w:rsidRDefault="000959EF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67,18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0959EF" w:rsidRDefault="000959EF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0959E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387AA5" w:rsidRDefault="000959EF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31,63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0959EF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72,42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0959E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0959E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29</w:t>
            </w:r>
          </w:p>
        </w:tc>
      </w:tr>
      <w:tr w:rsidR="000E2E24" w:rsidRPr="00D53B5A" w:rsidTr="003C1BC7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387AA5" w:rsidRDefault="000959EF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43,71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0959EF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234,46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0959E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0959E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D53B5A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общо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A45E23" w:rsidRDefault="000959E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19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B5A" w:rsidRPr="00A45E23" w:rsidRDefault="000959E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183</w:t>
            </w:r>
          </w:p>
        </w:tc>
      </w:tr>
      <w:tr w:rsidR="00D53B5A" w:rsidRPr="00D53B5A" w:rsidTr="00D53B5A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:rsidR="00D53B5A" w:rsidRPr="00D53B5A" w:rsidRDefault="00D53B5A" w:rsidP="00D53B5A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MS Mincho" w:hAnsi="Times New Roman" w:cs="Times New Roman"/>
          <w:color w:val="FF0000"/>
          <w:lang w:eastAsia="ja-JP"/>
        </w:rPr>
      </w:pPr>
    </w:p>
    <w:p w:rsidR="0054668F" w:rsidRDefault="0054668F" w:rsidP="00AB16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</w:pPr>
    </w:p>
    <w:p w:rsidR="00AB1630" w:rsidRDefault="00AB1630" w:rsidP="00AB16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  <w:r w:rsidRPr="004435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  <w:t>Фиг.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  <w:t xml:space="preserve"> 1.</w:t>
      </w:r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</w:t>
      </w:r>
      <w:proofErr w:type="spellStart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>Брой</w:t>
      </w:r>
      <w:proofErr w:type="spellEnd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</w:t>
      </w:r>
      <w:proofErr w:type="spellStart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>превишения</w:t>
      </w:r>
      <w:proofErr w:type="spellEnd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на ПС на СДН, </w:t>
      </w:r>
      <w:proofErr w:type="spellStart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>регистрирани</w:t>
      </w:r>
      <w:proofErr w:type="spellEnd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в </w:t>
      </w:r>
      <w:proofErr w:type="spellStart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>пунктовете</w:t>
      </w:r>
      <w:proofErr w:type="spellEnd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за мониторинг</w:t>
      </w:r>
      <w:r w:rsidRPr="004435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ДОАС-ОПСИС, АИС „Долно Езерово“, АИС „Меден Рудник“, АИС „Несебър” през зимните периоди на </w:t>
      </w:r>
      <w:r w:rsidRPr="00443536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2016 – 2017 г., 2017 – 2018 г., 2018 – 2019 г.</w:t>
      </w:r>
      <w:r w:rsidR="0016263A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,</w:t>
      </w:r>
      <w:r w:rsidR="0016263A" w:rsidRPr="0016263A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</w:t>
      </w:r>
      <w:r w:rsidR="0016263A" w:rsidRPr="00443536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201</w:t>
      </w:r>
      <w:r w:rsidR="0016263A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9</w:t>
      </w:r>
      <w:r w:rsidR="0016263A" w:rsidRPr="00443536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– 20</w:t>
      </w:r>
      <w:r w:rsidR="0016263A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20</w:t>
      </w:r>
      <w:r w:rsidR="0016263A" w:rsidRPr="00443536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г.</w:t>
      </w:r>
    </w:p>
    <w:p w:rsidR="0054668F" w:rsidRPr="00443536" w:rsidRDefault="0054668F" w:rsidP="00AB16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</w:pPr>
    </w:p>
    <w:p w:rsidR="00AB1630" w:rsidRDefault="00DB7969" w:rsidP="00AB16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>
        <w:rPr>
          <w:noProof/>
          <w:lang w:eastAsia="bg-BG"/>
        </w:rPr>
        <w:drawing>
          <wp:inline distT="0" distB="0" distL="0" distR="0" wp14:anchorId="4CB2A0F2" wp14:editId="7BD5532E">
            <wp:extent cx="5267325" cy="2933700"/>
            <wp:effectExtent l="0" t="0" r="9525" b="0"/>
            <wp:docPr id="5" name="Диаграма 5">
              <a:extLst xmlns:a="http://schemas.openxmlformats.org/drawingml/2006/main">
                <a:ext uri="{FF2B5EF4-FFF2-40B4-BE49-F238E27FC236}">
                  <a16:creationId xmlns:a16="http://schemas.microsoft.com/office/drawing/2014/main" id="{DAE86F2B-E73E-45C3-8E27-524C3D5EFE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1630" w:rsidRDefault="00AB1630" w:rsidP="00AB16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:rsidR="008B6848" w:rsidRDefault="00AB1630" w:rsidP="00AB16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Видно от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представената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графика в </w:t>
      </w:r>
      <w:r w:rsidRPr="003A5798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три от </w:t>
      </w:r>
      <w:proofErr w:type="spellStart"/>
      <w:r w:rsidRPr="003A5798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пунктовете</w:t>
      </w:r>
      <w:proofErr w:type="spellEnd"/>
      <w:r w:rsidRPr="003A5798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мониторинг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има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="00DB7969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увеличение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броя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дните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с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регистрирани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превишения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в сравнение 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предходн</w:t>
      </w:r>
      <w:r w:rsidR="00DB7969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ата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годин</w:t>
      </w:r>
      <w:r w:rsidR="00DB7969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а</w:t>
      </w:r>
      <w:r w:rsidR="00DB7969" w:rsidRPr="007644C0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.</w:t>
      </w:r>
      <w:r w:rsidRPr="007644C0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="00DB7969" w:rsidRPr="007644C0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З</w:t>
      </w:r>
      <w:r w:rsidRPr="007644C0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а АИС </w:t>
      </w:r>
      <w:r w:rsidRPr="007644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„Д. Езерово“ </w:t>
      </w:r>
      <w:r w:rsidR="00DB7969" w:rsidRPr="007644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превишенията са най-много</w:t>
      </w:r>
      <w:r w:rsidRPr="007644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B7969" w:rsidRPr="007644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 увеличението спрямо предходната година</w:t>
      </w:r>
      <w:r w:rsidR="00A4481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същия период</w:t>
      </w:r>
      <w:r w:rsidR="00DB7969" w:rsidRPr="007644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 </w:t>
      </w:r>
      <w:r w:rsidR="00637C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близо</w:t>
      </w:r>
      <w:r w:rsidRPr="007644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4</w:t>
      </w:r>
      <w:r w:rsidR="00DB7969" w:rsidRPr="007644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пъти</w:t>
      </w:r>
      <w:r w:rsidRPr="007644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</w:t>
      </w:r>
      <w:r w:rsidR="00DB7969" w:rsidRPr="007644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</w:t>
      </w:r>
      <w:r w:rsidRPr="007644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АИС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B796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Несебър се наблюдава трайна тенденция за намаление на дните с наднормено замърсяване.</w:t>
      </w:r>
      <w:r w:rsidR="008B684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AB1630" w:rsidRPr="00D55B24" w:rsidRDefault="008B6848" w:rsidP="00AB16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</w:t>
      </w:r>
      <w:r w:rsidR="00AB163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апазва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се </w:t>
      </w:r>
      <w:r w:rsidR="00AB163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тенденцията </w:t>
      </w:r>
      <w:r w:rsidR="0027457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АИС „М. Рудник“ д</w:t>
      </w:r>
      <w:r w:rsidR="00AB163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="0027457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се</w:t>
      </w:r>
      <w:r w:rsidR="00AB163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отчита най</w:t>
      </w:r>
      <w:r w:rsidR="0027457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-малък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брой</w:t>
      </w:r>
      <w:r w:rsidR="00AB163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превишени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я</w:t>
      </w:r>
      <w:r w:rsidR="00AB163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средноденонощната норма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сравнение останалите три пункта за мониторинг</w:t>
      </w:r>
      <w:r w:rsidR="00AB163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AB1630" w:rsidRDefault="00AB1630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3B5A" w:rsidRPr="00AB1630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B1630">
        <w:rPr>
          <w:rFonts w:ascii="Times New Roman" w:eastAsia="Times New Roman" w:hAnsi="Times New Roman" w:cs="Times New Roman"/>
          <w:i/>
          <w:sz w:val="24"/>
          <w:szCs w:val="24"/>
        </w:rPr>
        <w:t>таблица 8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 са посочени</w:t>
      </w:r>
      <w:r w:rsidR="00AB1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средномесечни стойности на ФПЧ</w:t>
      </w:r>
      <w:r w:rsidRPr="00AB163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10  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през 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зимните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октомври-март) н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6263A">
        <w:rPr>
          <w:rFonts w:ascii="Times New Roman" w:eastAsia="Times New Roman" w:hAnsi="Times New Roman" w:cs="Times New Roman"/>
          <w:sz w:val="24"/>
          <w:szCs w:val="24"/>
        </w:rPr>
        <w:t>8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6263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г. и 201</w:t>
      </w:r>
      <w:r w:rsidR="0016263A">
        <w:rPr>
          <w:rFonts w:ascii="Times New Roman" w:eastAsia="Times New Roman" w:hAnsi="Times New Roman" w:cs="Times New Roman"/>
          <w:sz w:val="24"/>
          <w:szCs w:val="24"/>
        </w:rPr>
        <w:t>9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16263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AB163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</w:t>
      </w:r>
    </w:p>
    <w:p w:rsidR="00AB1630" w:rsidRDefault="00D53B5A" w:rsidP="001510FE">
      <w:pPr>
        <w:tabs>
          <w:tab w:val="left" w:pos="8580"/>
        </w:tabs>
        <w:overflowPunct w:val="0"/>
        <w:autoSpaceDE w:val="0"/>
        <w:autoSpaceDN w:val="0"/>
        <w:adjustRightInd w:val="0"/>
        <w:spacing w:after="0" w:line="240" w:lineRule="auto"/>
        <w:ind w:right="-376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AB1630">
        <w:rPr>
          <w:rFonts w:ascii="Times New Roman" w:eastAsia="Times New Roman" w:hAnsi="Times New Roman" w:cs="Times New Roman"/>
          <w:sz w:val="24"/>
          <w:szCs w:val="24"/>
          <w:vertAlign w:val="subscript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="00EC00AE" w:rsidRPr="00AB1630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AB163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</w:t>
      </w:r>
      <w:r w:rsidR="00984DE4" w:rsidRPr="00AB163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</w:t>
      </w:r>
    </w:p>
    <w:p w:rsidR="00D53B5A" w:rsidRPr="00AB1630" w:rsidRDefault="0054668F" w:rsidP="004C5C05">
      <w:pPr>
        <w:tabs>
          <w:tab w:val="left" w:pos="8580"/>
        </w:tabs>
        <w:overflowPunct w:val="0"/>
        <w:autoSpaceDE w:val="0"/>
        <w:autoSpaceDN w:val="0"/>
        <w:adjustRightInd w:val="0"/>
        <w:spacing w:after="0" w:line="240" w:lineRule="auto"/>
        <w:ind w:right="-376" w:firstLine="720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="004C5C05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="00D53B5A" w:rsidRPr="00AB1630">
        <w:rPr>
          <w:rFonts w:ascii="Times New Roman" w:eastAsia="Times New Roman" w:hAnsi="Times New Roman" w:cs="Times New Roman"/>
          <w:b/>
        </w:rPr>
        <w:t>Табл. 8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992"/>
        <w:gridCol w:w="1134"/>
        <w:gridCol w:w="1134"/>
        <w:gridCol w:w="993"/>
        <w:gridCol w:w="992"/>
        <w:gridCol w:w="992"/>
        <w:gridCol w:w="1134"/>
      </w:tblGrid>
      <w:tr w:rsidR="00984DE4" w:rsidRPr="00AB1630" w:rsidTr="008B6848">
        <w:trPr>
          <w:trHeight w:val="319"/>
        </w:trPr>
        <w:tc>
          <w:tcPr>
            <w:tcW w:w="1135" w:type="dxa"/>
            <w:vMerge w:val="restart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Mесец</w:t>
            </w:r>
            <w:proofErr w:type="spellEnd"/>
          </w:p>
        </w:tc>
        <w:tc>
          <w:tcPr>
            <w:tcW w:w="4252" w:type="dxa"/>
            <w:gridSpan w:val="4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AB1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Пункт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есец</w:t>
            </w:r>
            <w:proofErr w:type="spellEnd"/>
          </w:p>
        </w:tc>
        <w:tc>
          <w:tcPr>
            <w:tcW w:w="4111" w:type="dxa"/>
            <w:gridSpan w:val="4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AB1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Пункт</w:t>
            </w:r>
            <w:proofErr w:type="spellEnd"/>
          </w:p>
        </w:tc>
      </w:tr>
      <w:tr w:rsidR="00984DE4" w:rsidRPr="00AB1630" w:rsidTr="001C377B">
        <w:tc>
          <w:tcPr>
            <w:tcW w:w="1135" w:type="dxa"/>
            <w:vMerge/>
            <w:shd w:val="clear" w:color="auto" w:fill="auto"/>
          </w:tcPr>
          <w:p w:rsidR="00D53B5A" w:rsidRPr="00AB1630" w:rsidRDefault="00D53B5A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Долно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Езер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во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Меден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Рудник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„ДОАС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OPSIS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“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3B5A" w:rsidRPr="00AB1630" w:rsidRDefault="00D53B5A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Несебър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1134" w:type="dxa"/>
            <w:vMerge/>
            <w:shd w:val="clear" w:color="auto" w:fill="auto"/>
          </w:tcPr>
          <w:p w:rsidR="00D53B5A" w:rsidRPr="00AB1630" w:rsidRDefault="00D53B5A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Долно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Езер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во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Меден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Рудник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ДОАС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="006F6523"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ОПСИС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3B5A" w:rsidRPr="00AB1630" w:rsidRDefault="00D53B5A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</w:t>
            </w:r>
          </w:p>
          <w:p w:rsidR="00D53B5A" w:rsidRPr="00AB1630" w:rsidRDefault="00D53B5A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Несебър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</w:tr>
      <w:tr w:rsidR="00E63BD6" w:rsidRPr="00AB1630" w:rsidTr="00171832">
        <w:tc>
          <w:tcPr>
            <w:tcW w:w="1135" w:type="dxa"/>
            <w:shd w:val="clear" w:color="auto" w:fill="auto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октомври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AB1630" w:rsidRDefault="00E63BD6" w:rsidP="00E63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</w:rPr>
              <w:t>40,23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17,01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38,78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октомври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E63BD6" w:rsidRDefault="00E63BD6" w:rsidP="00E63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</w:rPr>
              <w:t>26,91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E63BD6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13,50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E63BD6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3BD6" w:rsidRPr="00E63BD6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24,03</w:t>
            </w:r>
          </w:p>
        </w:tc>
      </w:tr>
      <w:tr w:rsidR="00E63BD6" w:rsidRPr="00AB1630" w:rsidTr="00E63BD6">
        <w:tc>
          <w:tcPr>
            <w:tcW w:w="1135" w:type="dxa"/>
            <w:shd w:val="clear" w:color="auto" w:fill="auto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ноември</w:t>
            </w:r>
          </w:p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AB1630" w:rsidRDefault="00E63BD6" w:rsidP="00E63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32,58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ноември</w:t>
            </w:r>
          </w:p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E63BD6" w:rsidRDefault="00E63BD6" w:rsidP="00E63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</w:rPr>
              <w:t>35,29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E63BD6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E63BD6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E63BD6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31,21</w:t>
            </w:r>
          </w:p>
        </w:tc>
      </w:tr>
      <w:tr w:rsidR="00E63BD6" w:rsidRPr="00AB1630" w:rsidTr="00E63BD6">
        <w:tc>
          <w:tcPr>
            <w:tcW w:w="1135" w:type="dxa"/>
            <w:shd w:val="clear" w:color="auto" w:fill="auto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декември</w:t>
            </w:r>
          </w:p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AB1630" w:rsidRDefault="00E63BD6" w:rsidP="00E63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декември</w:t>
            </w:r>
          </w:p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E63BD6" w:rsidRDefault="00E63BD6" w:rsidP="00E63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</w:rPr>
              <w:t>48,42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E63BD6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E63BD6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E63BD6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32,16</w:t>
            </w:r>
          </w:p>
        </w:tc>
      </w:tr>
      <w:tr w:rsidR="00E63BD6" w:rsidRPr="00AB1630" w:rsidTr="00E63BD6">
        <w:tc>
          <w:tcPr>
            <w:tcW w:w="1135" w:type="dxa"/>
            <w:shd w:val="clear" w:color="auto" w:fill="auto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януари</w:t>
            </w:r>
          </w:p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AB1630" w:rsidRDefault="00E63BD6" w:rsidP="00E63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</w:rPr>
              <w:t>31,63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37,54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януари</w:t>
            </w:r>
          </w:p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E63BD6" w:rsidRDefault="00E63BD6" w:rsidP="00E63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</w:rPr>
              <w:t>54,77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E63BD6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3BD6" w:rsidRPr="00E63BD6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37,19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E63BD6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38,28</w:t>
            </w:r>
          </w:p>
        </w:tc>
      </w:tr>
      <w:tr w:rsidR="00E63BD6" w:rsidRPr="00AB1630" w:rsidTr="00E63BD6">
        <w:tc>
          <w:tcPr>
            <w:tcW w:w="1135" w:type="dxa"/>
            <w:shd w:val="clear" w:color="auto" w:fill="auto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февруари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AB1630" w:rsidRDefault="00E63BD6" w:rsidP="00E63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40,52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февруари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E63BD6" w:rsidRDefault="00E63BD6" w:rsidP="00E63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</w:rPr>
              <w:t>44,13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E63BD6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E63BD6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E63BD6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31,63</w:t>
            </w:r>
          </w:p>
        </w:tc>
      </w:tr>
      <w:tr w:rsidR="00E63BD6" w:rsidRPr="00AB1630" w:rsidTr="00E63BD6">
        <w:tc>
          <w:tcPr>
            <w:tcW w:w="1135" w:type="dxa"/>
            <w:shd w:val="clear" w:color="auto" w:fill="auto"/>
            <w:vAlign w:val="bottom"/>
          </w:tcPr>
          <w:p w:rsidR="00E63BD6" w:rsidRPr="00AB1630" w:rsidRDefault="00E63BD6" w:rsidP="00E6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март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AB1630" w:rsidRDefault="00E63BD6" w:rsidP="00E63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19,33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29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33,86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3BD6" w:rsidRPr="00AB1630" w:rsidRDefault="00E63BD6" w:rsidP="00E6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март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E63BD6" w:rsidRPr="00AB1630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E63BD6" w:rsidRDefault="00E63BD6" w:rsidP="00E63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</w:rPr>
              <w:t>53,67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E63BD6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27,99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BD6" w:rsidRPr="00EF48A1" w:rsidRDefault="00EF48A1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3BD6" w:rsidRPr="00E63BD6" w:rsidRDefault="00E63BD6" w:rsidP="00E6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43,71</w:t>
            </w:r>
          </w:p>
        </w:tc>
      </w:tr>
    </w:tbl>
    <w:p w:rsidR="00AB1630" w:rsidRDefault="00AB1630" w:rsidP="0054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1630" w:rsidRDefault="00AB1630" w:rsidP="00694B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C00AE" w:rsidRDefault="00D53B5A" w:rsidP="00694B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Фиг. </w:t>
      </w:r>
      <w:r w:rsidR="00AB16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Измерени СДК  на ФПЧ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bg-BG"/>
        </w:rPr>
        <w:t xml:space="preserve">10 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осреднени по месеци,  в пунктовете за мониторинг </w:t>
      </w:r>
      <w:bookmarkStart w:id="0" w:name="_Hlk8133716"/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ДОАС-</w:t>
      </w:r>
      <w:r w:rsidR="00842A5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ОПСИС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АИС „Долно Езерово“, АИС „Меден Рудник“,</w:t>
      </w:r>
      <w:r w:rsidR="007C6D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АИС „Несебър”</w:t>
      </w:r>
      <w:bookmarkEnd w:id="0"/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за периода  </w:t>
      </w:r>
    </w:p>
    <w:p w:rsidR="00D53B5A" w:rsidRDefault="00D53B5A" w:rsidP="00A45E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</w:t>
      </w:r>
      <w:r w:rsidR="002E76A7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10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.201</w:t>
      </w:r>
      <w:r w:rsidR="008C2B7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9</w:t>
      </w:r>
      <w:r w:rsidR="00A45E23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– 3</w:t>
      </w:r>
      <w:r w:rsidR="002E76A7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.0</w:t>
      </w:r>
      <w:r w:rsidR="002E76A7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</w:t>
      </w:r>
      <w:r w:rsidR="008C2B7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20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г., 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сравнени със СДН, </w:t>
      </w:r>
      <w:r w:rsidR="0042540E"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определена в Наредба № 12/2010</w:t>
      </w:r>
      <w:r w:rsidR="00EC00A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г.</w:t>
      </w:r>
    </w:p>
    <w:p w:rsidR="00A45E23" w:rsidRPr="00A45E23" w:rsidRDefault="00A45E23" w:rsidP="00A45E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D53B5A" w:rsidRPr="00D53B5A" w:rsidRDefault="003F1762" w:rsidP="004254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684884">
        <w:rPr>
          <w:noProof/>
          <w:lang w:eastAsia="bg-BG"/>
        </w:rPr>
        <w:drawing>
          <wp:inline distT="0" distB="0" distL="0" distR="0" wp14:anchorId="566E0B6C" wp14:editId="129FFC47">
            <wp:extent cx="4714875" cy="3086100"/>
            <wp:effectExtent l="0" t="0" r="9525" b="0"/>
            <wp:docPr id="1" name="Ди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8188D" w:rsidRDefault="00D8188D" w:rsidP="00D53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6703" w:rsidRDefault="00926703" w:rsidP="00954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188D" w:rsidRPr="0095450A" w:rsidRDefault="0095450A" w:rsidP="00954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От представената графика е видно, че средномесечните концентрации </w:t>
      </w:r>
      <w:r w:rsidR="008C2B71">
        <w:rPr>
          <w:rFonts w:ascii="Times New Roman" w:eastAsia="Times New Roman" w:hAnsi="Times New Roman" w:cs="Times New Roman"/>
          <w:sz w:val="24"/>
          <w:szCs w:val="24"/>
        </w:rPr>
        <w:t xml:space="preserve">през месеците декември, януари и март са около и надвишават </w:t>
      </w:r>
      <w:r w:rsidR="008C2B71" w:rsidRPr="00AB1630">
        <w:rPr>
          <w:rFonts w:ascii="Times New Roman" w:eastAsia="Times New Roman" w:hAnsi="Times New Roman" w:cs="Times New Roman"/>
          <w:sz w:val="24"/>
          <w:szCs w:val="24"/>
        </w:rPr>
        <w:t xml:space="preserve">определената среднодневна норма от 50 </w:t>
      </w:r>
      <w:r w:rsidR="008C2B71" w:rsidRPr="00AB1630">
        <w:rPr>
          <w:rFonts w:ascii="Times New Roman" w:eastAsia="Times New Roman" w:hAnsi="Times New Roman" w:cs="Times New Roman"/>
          <w:sz w:val="24"/>
          <w:szCs w:val="24"/>
          <w:lang w:val="en-US"/>
        </w:rPr>
        <w:t>µg/m</w:t>
      </w:r>
      <w:r w:rsidR="008C2B71" w:rsidRPr="00AB163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AB16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>Най-ниски нива на замърсителя, както и в предходната година се регистрират от АИС „Меден Рудник“.</w:t>
      </w:r>
      <w:r w:rsidR="008C2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1762" w:rsidRDefault="003F1762" w:rsidP="003F17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612" w:rsidRDefault="00214612" w:rsidP="003F17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612" w:rsidRDefault="00214612" w:rsidP="003F17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540E" w:rsidRPr="0042540E" w:rsidRDefault="00662C59" w:rsidP="00D864BC">
      <w:pPr>
        <w:keepNext/>
        <w:tabs>
          <w:tab w:val="left" w:pos="87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РЕГИСТРИРАНИ НИВА НА ОЗОН  В  ПЕРИОДА ОТ  01.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8C2B7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 xml:space="preserve">  ÷ 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8C2B7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0EE4" w:rsidRPr="0042540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92AB7" w:rsidRDefault="00192AB7" w:rsidP="0019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2540E" w:rsidRPr="0042540E" w:rsidRDefault="00D864BC" w:rsidP="0019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оценка на нивата на озон 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>са разгледани стойности от измервания, извършени в периода от  01.</w:t>
      </w:r>
      <w:r w:rsidR="00534047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>.201</w:t>
      </w:r>
      <w:r w:rsidR="00C956EA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до 3</w:t>
      </w:r>
      <w:r w:rsidR="00534047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534047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="00C956EA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="00490E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пунктовете за мониторинг </w:t>
      </w:r>
      <w:r w:rsidR="00490EE4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ДОАС-ОПСИС, АИС „Меден Рудник”, АИС „Долно Езерово”,</w:t>
      </w:r>
      <w:r w:rsidR="00490E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90EE4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АИС „Несебър”</w:t>
      </w:r>
    </w:p>
    <w:p w:rsidR="0042540E" w:rsidRPr="0042540E" w:rsidRDefault="00192AB7" w:rsidP="00B82CE7">
      <w:pPr>
        <w:tabs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9360" w:right="-234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</w:t>
      </w:r>
      <w:r w:rsidR="00B82CE7">
        <w:rPr>
          <w:rFonts w:ascii="Arial" w:eastAsia="Times New Roman" w:hAnsi="Arial" w:cs="Times New Roman"/>
          <w:b/>
          <w:sz w:val="24"/>
          <w:szCs w:val="24"/>
        </w:rPr>
        <w:t xml:space="preserve">       </w:t>
      </w:r>
      <w:r w:rsidR="0042540E" w:rsidRPr="0054668F">
        <w:rPr>
          <w:rFonts w:ascii="Times New Roman" w:eastAsia="Times New Roman" w:hAnsi="Times New Roman" w:cs="Times New Roman"/>
          <w:b/>
        </w:rPr>
        <w:t>Табл.</w:t>
      </w:r>
      <w:r w:rsidR="00882D26" w:rsidRPr="0054668F">
        <w:rPr>
          <w:rFonts w:ascii="Times New Roman" w:eastAsia="Times New Roman" w:hAnsi="Times New Roman" w:cs="Times New Roman"/>
          <w:b/>
        </w:rPr>
        <w:t>9</w:t>
      </w:r>
    </w:p>
    <w:tbl>
      <w:tblPr>
        <w:tblW w:w="10848" w:type="dxa"/>
        <w:jc w:val="center"/>
        <w:tblLook w:val="04A0" w:firstRow="1" w:lastRow="0" w:firstColumn="1" w:lastColumn="0" w:noHBand="0" w:noVBand="1"/>
      </w:tblPr>
      <w:tblGrid>
        <w:gridCol w:w="3255"/>
        <w:gridCol w:w="1249"/>
        <w:gridCol w:w="1113"/>
        <w:gridCol w:w="1208"/>
        <w:gridCol w:w="971"/>
        <w:gridCol w:w="1213"/>
        <w:gridCol w:w="965"/>
        <w:gridCol w:w="998"/>
      </w:tblGrid>
      <w:tr w:rsidR="0042540E" w:rsidRPr="00192AB7" w:rsidTr="0054668F">
        <w:trPr>
          <w:trHeight w:val="300"/>
          <w:jc w:val="center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bCs/>
                <w:i/>
                <w:lang w:val="en-GB" w:eastAsia="en-GB"/>
              </w:rPr>
              <w:t xml:space="preserve"> </w:t>
            </w:r>
            <w:r w:rsidRPr="00192AB7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ДОАС- ОПСИС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FD56D7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Октомври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251B4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Н</w:t>
            </w:r>
            <w:r w:rsidR="00FD56D7"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оември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251B4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Д</w:t>
            </w:r>
            <w:r w:rsidR="00FD56D7"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екември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251B4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Януари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251B4B" w:rsidP="0025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Февруари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192FD4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М</w:t>
            </w:r>
            <w:r w:rsidR="00251B4B"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арт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proofErr w:type="spellStart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общо</w:t>
            </w:r>
            <w:proofErr w:type="spellEnd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 xml:space="preserve"> </w:t>
            </w:r>
            <w:proofErr w:type="spellStart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за</w:t>
            </w:r>
            <w:proofErr w:type="spellEnd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 xml:space="preserve"> </w:t>
            </w:r>
            <w:proofErr w:type="spellStart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периода</w:t>
            </w:r>
            <w:proofErr w:type="spellEnd"/>
          </w:p>
        </w:tc>
      </w:tr>
      <w:tr w:rsidR="0042540E" w:rsidRPr="0042540E" w:rsidTr="0054668F">
        <w:trPr>
          <w:trHeight w:val="390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проби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727BF2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727BF2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727BF2" w:rsidP="007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727BF2" w:rsidP="007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727BF2" w:rsidP="002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727BF2" w:rsidRDefault="00727BF2" w:rsidP="002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649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727BF2" w:rsidP="00E9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4198</w:t>
            </w:r>
          </w:p>
        </w:tc>
      </w:tr>
      <w:tr w:rsidR="0042540E" w:rsidRPr="0042540E" w:rsidTr="0054668F">
        <w:trPr>
          <w:trHeight w:val="360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A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данни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%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727BF2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96,9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727BF2" w:rsidP="007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97,8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727BF2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727BF2" w:rsidP="007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98,4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727BF2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98,6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727BF2" w:rsidRDefault="00727BF2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87,2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42540E" w:rsidRPr="00877B85" w:rsidRDefault="00727BF2" w:rsidP="00E9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95,6</w:t>
            </w:r>
          </w:p>
        </w:tc>
      </w:tr>
      <w:tr w:rsidR="0042540E" w:rsidRPr="0042540E" w:rsidTr="0054668F">
        <w:trPr>
          <w:trHeight w:val="450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Измерена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максимална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средночасова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727BF2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86,59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727BF2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86,25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727BF2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68,16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727BF2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65,92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727BF2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77,62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727BF2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83,15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727BF2" w:rsidP="00E9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86,59</w:t>
            </w:r>
          </w:p>
        </w:tc>
      </w:tr>
      <w:tr w:rsidR="0042540E" w:rsidRPr="0042540E" w:rsidTr="00010CAD">
        <w:trPr>
          <w:trHeight w:val="333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3C1BC7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Средномесечна</w:t>
            </w:r>
            <w:r w:rsidR="0042540E"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42540E"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3817C9" w:rsidP="007F6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45,82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817C9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43,65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817C9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29,96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A2796C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36,79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A2796C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44,16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A2796C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48,21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3817C9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41,43</w:t>
            </w:r>
          </w:p>
        </w:tc>
      </w:tr>
      <w:tr w:rsidR="0042540E" w:rsidRPr="0042540E" w:rsidTr="0054668F">
        <w:trPr>
          <w:trHeight w:val="870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(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КЦН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осемчасова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120 µg/m3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54668F">
        <w:trPr>
          <w:trHeight w:val="501"/>
          <w:jc w:val="center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Краткосрочната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54668F">
        <w:trPr>
          <w:trHeight w:val="1035"/>
          <w:jc w:val="center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информиране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(ПИН),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средночасова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180 µg/m3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FD56D7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54668F">
        <w:trPr>
          <w:trHeight w:val="1065"/>
          <w:jc w:val="center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периоди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алармения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(АП)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предупреждение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(ППН)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240  µg/m3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42540E" w:rsidRDefault="0042540E" w:rsidP="0042540E">
      <w:pPr>
        <w:overflowPunct w:val="0"/>
        <w:autoSpaceDE w:val="0"/>
        <w:autoSpaceDN w:val="0"/>
        <w:adjustRightInd w:val="0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B82CE7" w:rsidRPr="00B82CE7" w:rsidRDefault="00B82CE7" w:rsidP="00253DD9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2540E" w:rsidRPr="0042540E" w:rsidRDefault="0042540E" w:rsidP="00AD10A1">
      <w:pPr>
        <w:tabs>
          <w:tab w:val="left" w:pos="8647"/>
        </w:tabs>
        <w:spacing w:after="0" w:line="240" w:lineRule="auto"/>
        <w:ind w:left="8647" w:right="-800" w:hanging="480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="001510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Табл.1</w:t>
      </w:r>
      <w:r w:rsidR="00882D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</w:p>
    <w:tbl>
      <w:tblPr>
        <w:tblW w:w="11002" w:type="dxa"/>
        <w:tblInd w:w="-459" w:type="dxa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208"/>
        <w:gridCol w:w="971"/>
        <w:gridCol w:w="1223"/>
        <w:gridCol w:w="908"/>
        <w:gridCol w:w="1021"/>
      </w:tblGrid>
      <w:tr w:rsidR="00251B4B" w:rsidRPr="0042540E" w:rsidTr="00877B85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490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2540E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АИС „Меден Рудн</w:t>
            </w:r>
            <w:r w:rsidR="00A2796C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и</w:t>
            </w:r>
            <w:r w:rsidRPr="0042540E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к“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Октомври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Ноември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Декември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Януари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Февруари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4D1033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М</w:t>
            </w:r>
            <w:r w:rsidR="00251B4B">
              <w:rPr>
                <w:rFonts w:ascii="Times New Roman" w:eastAsia="Times New Roman" w:hAnsi="Times New Roman" w:cs="Times New Roman"/>
                <w:b/>
                <w:lang w:eastAsia="en-GB"/>
              </w:rPr>
              <w:t>арт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за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периода</w:t>
            </w:r>
            <w:proofErr w:type="spellEnd"/>
          </w:p>
        </w:tc>
      </w:tr>
      <w:tr w:rsidR="0042540E" w:rsidRPr="0042540E" w:rsidTr="00877B85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проби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0E42BD" w:rsidP="004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6D56E4" w:rsidP="004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6D56E4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171832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171832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171832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="00AC720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AC7201" w:rsidP="0025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4373</w:t>
            </w:r>
          </w:p>
        </w:tc>
      </w:tr>
      <w:tr w:rsidR="0042540E" w:rsidRPr="0042540E" w:rsidTr="00877B85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данни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0E42BD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6D56E4" w:rsidP="004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6D56E4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171832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171832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171832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  <w:r w:rsidR="00AC720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="00AC720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AC7201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99,6</w:t>
            </w:r>
          </w:p>
        </w:tc>
      </w:tr>
      <w:tr w:rsidR="0042540E" w:rsidRPr="0042540E" w:rsidTr="00877B85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Измерена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максимална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средночасова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0E42BD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6D56E4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75,89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6D56E4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32,38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6D56E4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14,48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171832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5,48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AC7201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5,31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AC7201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97,13</w:t>
            </w:r>
          </w:p>
        </w:tc>
      </w:tr>
      <w:tr w:rsidR="00A2796C" w:rsidRPr="0042540E" w:rsidTr="00087D3A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Средномесечна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96C" w:rsidRPr="00877B85" w:rsidRDefault="003817C9" w:rsidP="00A27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3817C9" w:rsidP="00A27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3817C9" w:rsidP="00A27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A2796C" w:rsidP="00A27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7,71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A2796C" w:rsidP="00A27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A2796C" w:rsidP="00A27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2796C" w:rsidRPr="00877B85" w:rsidRDefault="003817C9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18,89</w:t>
            </w:r>
          </w:p>
        </w:tc>
      </w:tr>
      <w:tr w:rsidR="00A2796C" w:rsidRPr="0042540E" w:rsidTr="00087D3A">
        <w:trPr>
          <w:trHeight w:val="86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(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КЦН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осемчасова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120 µg/m3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A2796C" w:rsidRPr="0042540E" w:rsidTr="003817C9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Краткосрочната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(КЦН)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120 µg/m3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A2796C" w:rsidRPr="0042540E" w:rsidTr="00C32DFD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информиране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(ПИН),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средночасова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180 µg/m3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A2796C" w:rsidRPr="0042540E" w:rsidTr="00C32DFD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Б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периоди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алармения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(АП)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предупреждение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(ППН)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240  µg/m3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42540E" w:rsidRDefault="0042540E" w:rsidP="00192A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F126E" w:rsidRDefault="005F126E" w:rsidP="00192A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26703" w:rsidRDefault="00926703" w:rsidP="00192AB7">
      <w:pPr>
        <w:tabs>
          <w:tab w:val="left" w:pos="8415"/>
        </w:tabs>
        <w:overflowPunct w:val="0"/>
        <w:autoSpaceDE w:val="0"/>
        <w:autoSpaceDN w:val="0"/>
        <w:adjustRightInd w:val="0"/>
        <w:spacing w:after="0" w:line="240" w:lineRule="auto"/>
        <w:ind w:right="-80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42540E" w:rsidRPr="0042540E" w:rsidRDefault="00192AB7" w:rsidP="00192AB7">
      <w:pPr>
        <w:tabs>
          <w:tab w:val="left" w:pos="8415"/>
        </w:tabs>
        <w:overflowPunct w:val="0"/>
        <w:autoSpaceDE w:val="0"/>
        <w:autoSpaceDN w:val="0"/>
        <w:adjustRightInd w:val="0"/>
        <w:spacing w:after="0" w:line="240" w:lineRule="auto"/>
        <w:ind w:right="-800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</w:rPr>
        <w:tab/>
      </w:r>
      <w:r w:rsidR="0042540E" w:rsidRPr="0042540E">
        <w:rPr>
          <w:rFonts w:ascii="Times New Roman" w:eastAsia="Times New Roman" w:hAnsi="Times New Roman" w:cs="Times New Roman"/>
          <w:b/>
        </w:rPr>
        <w:t xml:space="preserve">Табл. </w:t>
      </w:r>
      <w:r w:rsidR="0042540E">
        <w:rPr>
          <w:rFonts w:ascii="Times New Roman" w:eastAsia="Times New Roman" w:hAnsi="Times New Roman" w:cs="Times New Roman"/>
          <w:b/>
        </w:rPr>
        <w:t>1</w:t>
      </w:r>
      <w:r w:rsidR="00882D26">
        <w:rPr>
          <w:rFonts w:ascii="Times New Roman" w:eastAsia="Times New Roman" w:hAnsi="Times New Roman" w:cs="Times New Roman"/>
          <w:b/>
        </w:rPr>
        <w:t>1</w:t>
      </w:r>
    </w:p>
    <w:tbl>
      <w:tblPr>
        <w:tblW w:w="11057" w:type="dxa"/>
        <w:tblInd w:w="-459" w:type="dxa"/>
        <w:tblLook w:val="04A0" w:firstRow="1" w:lastRow="0" w:firstColumn="1" w:lastColumn="0" w:noHBand="0" w:noVBand="1"/>
      </w:tblPr>
      <w:tblGrid>
        <w:gridCol w:w="3261"/>
        <w:gridCol w:w="1250"/>
        <w:gridCol w:w="1113"/>
        <w:gridCol w:w="1208"/>
        <w:gridCol w:w="971"/>
        <w:gridCol w:w="1213"/>
        <w:gridCol w:w="907"/>
        <w:gridCol w:w="1134"/>
      </w:tblGrid>
      <w:tr w:rsidR="00251B4B" w:rsidRPr="0042540E" w:rsidTr="00877B85">
        <w:trPr>
          <w:trHeight w:val="31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490EE4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</w:pPr>
            <w:r w:rsidRPr="00490EE4">
              <w:rPr>
                <w:rFonts w:ascii="Times New Roman" w:eastAsia="Times New Roman" w:hAnsi="Times New Roman" w:cs="Times New Roman"/>
                <w:b/>
                <w:i/>
              </w:rPr>
              <w:t>АИС „Долно Езерово“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Октомври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Ноември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Декември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Януари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Февруари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350F7A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М</w:t>
            </w:r>
            <w:r w:rsidR="00251B4B">
              <w:rPr>
                <w:rFonts w:ascii="Times New Roman" w:eastAsia="Times New Roman" w:hAnsi="Times New Roman" w:cs="Times New Roman"/>
                <w:b/>
                <w:lang w:eastAsia="en-GB"/>
              </w:rPr>
              <w:t>арт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за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периода</w:t>
            </w:r>
            <w:proofErr w:type="spellEnd"/>
          </w:p>
        </w:tc>
      </w:tr>
      <w:tr w:rsidR="00FD56D7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6D7" w:rsidRPr="00877B85" w:rsidRDefault="00FD56D7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проби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6D7" w:rsidRPr="00F77BB1" w:rsidRDefault="00485A97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485A97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485A97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171832" w:rsidRDefault="00171832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711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171832" w:rsidRDefault="00171832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664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171832" w:rsidP="0017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56D7" w:rsidRPr="00877B85" w:rsidRDefault="00171832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4190</w:t>
            </w:r>
          </w:p>
        </w:tc>
      </w:tr>
      <w:tr w:rsidR="00FD56D7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6D7" w:rsidRPr="00877B85" w:rsidRDefault="00FD56D7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данни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%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6D7" w:rsidRPr="00F77BB1" w:rsidRDefault="00485A97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485A97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485A97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171832" w:rsidRDefault="00171832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171832" w:rsidRDefault="00171832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9722A8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56D7" w:rsidRPr="00877B85" w:rsidRDefault="00171832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96</w:t>
            </w:r>
          </w:p>
        </w:tc>
      </w:tr>
      <w:tr w:rsidR="00FD56D7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6D7" w:rsidRPr="00877B85" w:rsidRDefault="00FD56D7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Измерена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максимална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6D7" w:rsidRPr="00F77BB1" w:rsidRDefault="00485A97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97,05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485A97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78,33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485A97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67,20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171832" w:rsidRDefault="00171832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77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171832" w:rsidRDefault="00171832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171832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97,43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56D7" w:rsidRPr="00877B85" w:rsidRDefault="00171832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97,43</w:t>
            </w:r>
          </w:p>
        </w:tc>
      </w:tr>
      <w:tr w:rsidR="00A2796C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Средномесечна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96C" w:rsidRPr="00877B85" w:rsidRDefault="003817C9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41,03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3817C9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39,26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3817C9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22,64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39,51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2796C" w:rsidRPr="00877B85" w:rsidRDefault="003817C9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36,14</w:t>
            </w:r>
          </w:p>
        </w:tc>
      </w:tr>
      <w:tr w:rsidR="00A2796C" w:rsidRPr="0042540E" w:rsidTr="00877B85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(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КЦН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осемчасова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120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A2796C" w:rsidRPr="0042540E" w:rsidTr="00877B85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Краткосрочната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A2796C" w:rsidRPr="0042540E" w:rsidTr="00877B85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информиране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(ПИН),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средночасова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A2796C" w:rsidRPr="0042540E" w:rsidTr="00877B85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периоди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алармения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(АП)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предупреждение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(ППН)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240 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5F126E" w:rsidRDefault="005F126E" w:rsidP="00192AB7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540E" w:rsidRDefault="00253DD9" w:rsidP="00192AB7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42540E" w:rsidRPr="004254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53DD9" w:rsidRDefault="00877B85" w:rsidP="00877B85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 w:right="-376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2540E" w:rsidRPr="0042540E" w:rsidRDefault="0042540E" w:rsidP="00877B85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 w:right="-37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540E">
        <w:rPr>
          <w:rFonts w:ascii="Times New Roman" w:eastAsia="Times New Roman" w:hAnsi="Times New Roman" w:cs="Times New Roman"/>
          <w:b/>
        </w:rPr>
        <w:t>Табл. 1</w:t>
      </w:r>
      <w:r w:rsidR="00882D26">
        <w:rPr>
          <w:rFonts w:ascii="Times New Roman" w:eastAsia="Times New Roman" w:hAnsi="Times New Roman" w:cs="Times New Roman"/>
          <w:b/>
        </w:rPr>
        <w:t>2</w:t>
      </w:r>
      <w:r w:rsidRPr="0042540E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10944" w:type="dxa"/>
        <w:tblInd w:w="-459" w:type="dxa"/>
        <w:tblLook w:val="04A0" w:firstRow="1" w:lastRow="0" w:firstColumn="1" w:lastColumn="0" w:noHBand="0" w:noVBand="1"/>
      </w:tblPr>
      <w:tblGrid>
        <w:gridCol w:w="3261"/>
        <w:gridCol w:w="1250"/>
        <w:gridCol w:w="1159"/>
        <w:gridCol w:w="1208"/>
        <w:gridCol w:w="971"/>
        <w:gridCol w:w="1213"/>
        <w:gridCol w:w="861"/>
        <w:gridCol w:w="1021"/>
      </w:tblGrid>
      <w:tr w:rsidR="00251B4B" w:rsidRPr="0042540E" w:rsidTr="00490EE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490E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</w:pPr>
            <w:r w:rsidRPr="0042540E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АИС „Несебър“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Октомври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Ноември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Декември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Януари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Февруари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F912AF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М</w:t>
            </w:r>
            <w:r w:rsidR="00251B4B">
              <w:rPr>
                <w:rFonts w:ascii="Times New Roman" w:eastAsia="Times New Roman" w:hAnsi="Times New Roman" w:cs="Times New Roman"/>
                <w:b/>
                <w:lang w:eastAsia="en-GB"/>
              </w:rPr>
              <w:t>арт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за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периода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</w:p>
        </w:tc>
      </w:tr>
      <w:tr w:rsidR="0042540E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проби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F853C5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F853C5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F853C5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F853C5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F853C5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655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F853C5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F77BB1" w:rsidRDefault="00F853C5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3490</w:t>
            </w:r>
          </w:p>
        </w:tc>
      </w:tr>
      <w:tr w:rsidR="0042540E" w:rsidRPr="0042540E" w:rsidTr="00877B8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Регистирани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данни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%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F853C5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F853C5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F853C5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F853C5" w:rsidP="00F8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95,0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F853C5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F853C5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86,4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F853C5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79,95</w:t>
            </w:r>
          </w:p>
        </w:tc>
      </w:tr>
      <w:tr w:rsidR="0042540E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Измерена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максимална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F853C5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49,68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F853C5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39,39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F853C5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35,28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F853C5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42,06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F853C5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28,28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F853C5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23,84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F77BB1" w:rsidRDefault="00F853C5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49,68</w:t>
            </w:r>
          </w:p>
        </w:tc>
      </w:tr>
      <w:tr w:rsidR="003C1BC7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1BC7" w:rsidRPr="00F77BB1" w:rsidRDefault="003C1BC7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Средномесечна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523289" w:rsidRDefault="00523289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3817C9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22,41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5516EE" w:rsidRDefault="003817C9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16,77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3817C9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19,28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3817C9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19,43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3817C9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7,65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C1BC7" w:rsidRPr="00F77BB1" w:rsidRDefault="003817C9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17,11</w:t>
            </w:r>
          </w:p>
        </w:tc>
      </w:tr>
      <w:tr w:rsidR="003817C9" w:rsidRPr="0042540E" w:rsidTr="00B35708">
        <w:trPr>
          <w:trHeight w:val="9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(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КЦН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),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осемчасова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120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3817C9" w:rsidRPr="0042540E" w:rsidTr="003817C9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3817C9" w:rsidRPr="0042540E" w:rsidTr="003817C9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информиране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(ПИН),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средночасова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180 µg/m3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3817C9" w:rsidRPr="0042540E" w:rsidTr="003817C9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C9" w:rsidRPr="00F77BB1" w:rsidRDefault="003817C9" w:rsidP="0038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Б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периоди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алармения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(АП)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предупреждение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(ППН)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240 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5F126E" w:rsidRDefault="005F126E" w:rsidP="00253DD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5F126E" w:rsidRDefault="005F126E" w:rsidP="00253DD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253DD9" w:rsidRPr="00192AB7" w:rsidRDefault="00253DD9" w:rsidP="00253DD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57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Фиг. </w:t>
      </w:r>
      <w:r w:rsidR="00087D3A" w:rsidRPr="003A57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</w:t>
      </w:r>
      <w:r w:rsidRPr="003A57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</w:t>
      </w:r>
      <w:r w:rsidRPr="003A579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К</w:t>
      </w:r>
      <w:r w:rsidRPr="003A5798">
        <w:rPr>
          <w:rFonts w:ascii="Times New Roman" w:eastAsia="Times New Roman" w:hAnsi="Times New Roman" w:cs="Times New Roman"/>
          <w:i/>
          <w:sz w:val="24"/>
          <w:szCs w:val="24"/>
        </w:rPr>
        <w:t>онцентрации на озон</w:t>
      </w:r>
      <w:r w:rsidRPr="003A5798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3A5798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през зимен  период   </w:t>
      </w:r>
      <w:r w:rsidRPr="003A57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01.10.201</w:t>
      </w:r>
      <w:r w:rsidR="00F82AB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9</w:t>
      </w:r>
      <w:r w:rsidRPr="003A57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г. – 31.03.20</w:t>
      </w:r>
      <w:r w:rsidR="00F82AB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20</w:t>
      </w:r>
      <w:r w:rsidRPr="003A57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 </w:t>
      </w:r>
      <w:r w:rsidRPr="003A5798">
        <w:rPr>
          <w:rFonts w:ascii="Times New Roman" w:eastAsia="Times New Roman" w:hAnsi="Times New Roman" w:cs="Times New Roman"/>
          <w:i/>
          <w:sz w:val="24"/>
          <w:szCs w:val="24"/>
        </w:rPr>
        <w:t>осреднени по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</w:rPr>
        <w:t xml:space="preserve"> месеци 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пунктове за мониторинг (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ПМ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ДОАС-</w:t>
      </w:r>
      <w:r w:rsidR="00087D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ОПСИС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АИС „Долно Езерово“, АИС „Меден Рудник“ и АИС „Несебър” сравнени с КЦН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определена в Наредба № 12/2010 г.</w:t>
      </w:r>
    </w:p>
    <w:p w:rsidR="0042540E" w:rsidRPr="0042540E" w:rsidRDefault="0042540E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540E" w:rsidRPr="0042540E" w:rsidRDefault="0042540E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42540E">
        <w:rPr>
          <w:rFonts w:ascii="Arial" w:eastAsia="Times New Roman" w:hAnsi="Arial" w:cs="Times New Roman"/>
          <w:sz w:val="20"/>
          <w:szCs w:val="20"/>
        </w:rPr>
        <w:t xml:space="preserve"> </w:t>
      </w:r>
      <w:r w:rsidR="00941D90">
        <w:rPr>
          <w:rFonts w:ascii="Arial" w:eastAsia="Times New Roman" w:hAnsi="Arial" w:cs="Times New Roman"/>
          <w:sz w:val="20"/>
          <w:szCs w:val="20"/>
        </w:rPr>
        <w:t xml:space="preserve">              </w:t>
      </w:r>
      <w:r w:rsidRPr="0042540E">
        <w:rPr>
          <w:rFonts w:ascii="Arial" w:eastAsia="Times New Roman" w:hAnsi="Arial" w:cs="Times New Roman"/>
          <w:sz w:val="20"/>
          <w:szCs w:val="20"/>
        </w:rPr>
        <w:t xml:space="preserve"> </w:t>
      </w:r>
      <w:bookmarkStart w:id="1" w:name="_GoBack"/>
      <w:r w:rsidR="00F82AB2">
        <w:rPr>
          <w:noProof/>
          <w:lang w:eastAsia="bg-BG"/>
        </w:rPr>
        <w:drawing>
          <wp:inline distT="0" distB="0" distL="0" distR="0" wp14:anchorId="6134A8CC" wp14:editId="7B4688C0">
            <wp:extent cx="5276849" cy="3343274"/>
            <wp:effectExtent l="0" t="0" r="635" b="10160"/>
            <wp:docPr id="3" name="Диагра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1"/>
    </w:p>
    <w:p w:rsidR="00A1490D" w:rsidRDefault="00A1490D" w:rsidP="0042540E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2540E" w:rsidRPr="0042540E" w:rsidRDefault="0042540E" w:rsidP="0042540E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През периода 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01.</w:t>
      </w:r>
      <w:r w:rsidR="00941D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.201</w:t>
      </w:r>
      <w:r w:rsidR="00F82AB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9</w:t>
      </w:r>
      <w:r w:rsidR="00192A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- 3</w:t>
      </w:r>
      <w:r w:rsidR="00941D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</w:t>
      </w:r>
      <w:r w:rsidR="00941D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 w:rsidR="00F82AB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20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  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C7F1C">
        <w:rPr>
          <w:rFonts w:ascii="Times New Roman" w:eastAsia="Times New Roman" w:hAnsi="Times New Roman" w:cs="Times New Roman"/>
          <w:sz w:val="24"/>
          <w:szCs w:val="24"/>
        </w:rPr>
        <w:t>всички ПМ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регистрираните нива на озон са под прага за информиране на населението (ПИН) – 180 </w:t>
      </w:r>
      <w:r w:rsidRPr="0042540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42540E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4254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и прага за предупреждение на населението (ППН) – 240 </w:t>
      </w:r>
      <w:r w:rsidRPr="0042540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42540E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42540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F1C">
        <w:rPr>
          <w:rFonts w:ascii="Times New Roman" w:eastAsia="Times New Roman" w:hAnsi="Times New Roman" w:cs="Times New Roman"/>
          <w:sz w:val="24"/>
          <w:szCs w:val="24"/>
        </w:rPr>
        <w:t>Не са р</w:t>
      </w:r>
      <w:r w:rsidRPr="00192AB7">
        <w:rPr>
          <w:rFonts w:ascii="Times New Roman" w:eastAsia="Times New Roman" w:hAnsi="Times New Roman" w:cs="Times New Roman"/>
          <w:sz w:val="24"/>
          <w:szCs w:val="24"/>
        </w:rPr>
        <w:t>егистрирани 8–часови средни стойности</w:t>
      </w:r>
      <w:r w:rsidR="009C7F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2AB7">
        <w:rPr>
          <w:rFonts w:ascii="Times New Roman" w:eastAsia="Times New Roman" w:hAnsi="Times New Roman" w:cs="Times New Roman"/>
          <w:sz w:val="24"/>
          <w:szCs w:val="24"/>
        </w:rPr>
        <w:t xml:space="preserve"> превишаващи краткосрочната целева норма (КЦН) на озон – 120 µg/m</w:t>
      </w:r>
      <w:r w:rsidRPr="00192A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941D90" w:rsidRPr="00192AB7">
        <w:rPr>
          <w:rFonts w:ascii="Times New Roman" w:eastAsia="Times New Roman" w:hAnsi="Times New Roman" w:cs="Times New Roman"/>
          <w:sz w:val="24"/>
          <w:szCs w:val="24"/>
        </w:rPr>
        <w:t xml:space="preserve">, съгласно </w:t>
      </w:r>
      <w:r w:rsidR="00941D90" w:rsidRPr="00192AB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№12/2010 г.</w:t>
      </w:r>
      <w:r w:rsidRPr="0019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540E" w:rsidRPr="0042540E" w:rsidRDefault="0042540E" w:rsidP="004254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color w:val="FF0000"/>
          <w:sz w:val="20"/>
          <w:szCs w:val="20"/>
          <w:lang w:eastAsia="bg-BG"/>
        </w:rPr>
      </w:pPr>
    </w:p>
    <w:p w:rsidR="005F126E" w:rsidRDefault="00255DCD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</w:p>
    <w:p w:rsidR="005F126E" w:rsidRDefault="005F126E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5F126E" w:rsidRPr="00255DCD" w:rsidRDefault="005F126E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42540E" w:rsidRPr="0042540E" w:rsidRDefault="00662C59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7.АНАЛИЗ НА РЕЗУЛТАТИТЕ</w:t>
      </w:r>
    </w:p>
    <w:p w:rsidR="009418BB" w:rsidRDefault="009418BB" w:rsidP="009418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18BB" w:rsidRDefault="00D344AF" w:rsidP="009418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</w:t>
      </w:r>
      <w:r w:rsidR="009418BB">
        <w:rPr>
          <w:rFonts w:ascii="Times New Roman" w:eastAsia="Times New Roman" w:hAnsi="Times New Roman" w:cs="Times New Roman"/>
          <w:b/>
          <w:sz w:val="24"/>
          <w:szCs w:val="24"/>
        </w:rPr>
        <w:t>ни прахови частици</w:t>
      </w:r>
    </w:p>
    <w:p w:rsidR="0042540E" w:rsidRDefault="0042540E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58DC" w:rsidRDefault="00303F83" w:rsidP="00255D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А</w:t>
      </w:r>
      <w:r w:rsidR="0042540E" w:rsidRPr="0042540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нализът</w:t>
      </w:r>
      <w:proofErr w:type="spellEnd"/>
      <w:r w:rsidR="0042540E" w:rsidRPr="0042540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="0042540E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регистрираните</w:t>
      </w:r>
      <w:proofErr w:type="spellEnd"/>
      <w:r w:rsidR="0042540E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="00F558DC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в </w:t>
      </w:r>
      <w:proofErr w:type="spellStart"/>
      <w:r w:rsidR="00F558DC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четирите</w:t>
      </w:r>
      <w:proofErr w:type="spellEnd"/>
      <w:r w:rsidR="00F558DC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="00F558DC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постоянни</w:t>
      </w:r>
      <w:proofErr w:type="spellEnd"/>
      <w:r w:rsidR="00F558DC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пункта за мониторинг </w:t>
      </w:r>
      <w:proofErr w:type="spellStart"/>
      <w:r w:rsidR="006B113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средномесечни</w:t>
      </w:r>
      <w:proofErr w:type="spellEnd"/>
      <w:r w:rsidR="00F558DC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концентрации </w:t>
      </w:r>
      <w:r w:rsidR="00D344AF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на </w:t>
      </w:r>
      <w:r w:rsidR="00D344AF">
        <w:rPr>
          <w:rFonts w:ascii="Times New Roman" w:eastAsia="Times New Roman" w:hAnsi="Times New Roman" w:cs="Times New Roman"/>
          <w:sz w:val="24"/>
          <w:szCs w:val="24"/>
        </w:rPr>
        <w:t>ф</w:t>
      </w:r>
      <w:r w:rsidR="00D344AF" w:rsidRPr="00D344AF">
        <w:rPr>
          <w:rFonts w:ascii="Times New Roman" w:eastAsia="Times New Roman" w:hAnsi="Times New Roman" w:cs="Times New Roman"/>
          <w:sz w:val="24"/>
          <w:szCs w:val="24"/>
        </w:rPr>
        <w:t>ини прахови частици</w:t>
      </w:r>
      <w:r w:rsidR="00D344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сочи</w:t>
      </w:r>
      <w:r w:rsidR="0042540E" w:rsidRPr="0042540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, </w:t>
      </w:r>
      <w:r w:rsidR="00F558DC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че </w:t>
      </w:r>
      <w:r w:rsidR="00F558DC" w:rsidRPr="00F558DC">
        <w:rPr>
          <w:rFonts w:ascii="Times New Roman" w:hAnsi="Times New Roman"/>
          <w:sz w:val="24"/>
          <w:szCs w:val="24"/>
        </w:rPr>
        <w:t xml:space="preserve">спрямо предходния зимен период </w:t>
      </w:r>
      <w:r w:rsidR="00DD33FF">
        <w:rPr>
          <w:rFonts w:ascii="Times New Roman" w:hAnsi="Times New Roman"/>
          <w:sz w:val="24"/>
          <w:szCs w:val="24"/>
          <w:lang w:val="en-US"/>
        </w:rPr>
        <w:t>-</w:t>
      </w:r>
      <w:r w:rsidR="00F558DC">
        <w:rPr>
          <w:rFonts w:ascii="Times New Roman" w:hAnsi="Times New Roman"/>
          <w:sz w:val="24"/>
          <w:szCs w:val="24"/>
        </w:rPr>
        <w:t xml:space="preserve">октомври </w:t>
      </w:r>
      <w:r w:rsidR="00F558DC" w:rsidRPr="00F558DC">
        <w:rPr>
          <w:rFonts w:ascii="Times New Roman" w:hAnsi="Times New Roman"/>
          <w:sz w:val="24"/>
          <w:szCs w:val="24"/>
        </w:rPr>
        <w:t>201</w:t>
      </w:r>
      <w:r w:rsidR="00214612">
        <w:rPr>
          <w:rFonts w:ascii="Times New Roman" w:hAnsi="Times New Roman"/>
          <w:sz w:val="24"/>
          <w:szCs w:val="24"/>
        </w:rPr>
        <w:t>8</w:t>
      </w:r>
      <w:r w:rsidR="00D344AF">
        <w:rPr>
          <w:rFonts w:ascii="Times New Roman" w:hAnsi="Times New Roman"/>
          <w:sz w:val="24"/>
          <w:szCs w:val="24"/>
        </w:rPr>
        <w:t xml:space="preserve"> </w:t>
      </w:r>
      <w:r w:rsidR="00F558DC">
        <w:rPr>
          <w:rFonts w:ascii="Times New Roman" w:hAnsi="Times New Roman"/>
          <w:sz w:val="24"/>
          <w:szCs w:val="24"/>
        </w:rPr>
        <w:t>г.- март 201</w:t>
      </w:r>
      <w:r w:rsidR="0068397A">
        <w:rPr>
          <w:rFonts w:ascii="Times New Roman" w:hAnsi="Times New Roman"/>
          <w:sz w:val="24"/>
          <w:szCs w:val="24"/>
        </w:rPr>
        <w:t>9</w:t>
      </w:r>
      <w:r w:rsidR="00F558DC">
        <w:rPr>
          <w:rFonts w:ascii="Times New Roman" w:hAnsi="Times New Roman"/>
          <w:sz w:val="24"/>
          <w:szCs w:val="24"/>
        </w:rPr>
        <w:t xml:space="preserve"> г.</w:t>
      </w:r>
      <w:r w:rsidR="00F558DC" w:rsidRPr="00F558DC">
        <w:rPr>
          <w:rFonts w:ascii="Times New Roman" w:hAnsi="Times New Roman"/>
          <w:sz w:val="24"/>
          <w:szCs w:val="24"/>
        </w:rPr>
        <w:t xml:space="preserve"> </w:t>
      </w:r>
      <w:r w:rsidR="0068397A">
        <w:rPr>
          <w:rFonts w:ascii="Times New Roman" w:hAnsi="Times New Roman"/>
          <w:sz w:val="24"/>
          <w:szCs w:val="24"/>
        </w:rPr>
        <w:t>има леко завишение на</w:t>
      </w:r>
      <w:r w:rsidR="00F558DC" w:rsidRPr="00F558DC">
        <w:rPr>
          <w:rFonts w:ascii="Times New Roman" w:hAnsi="Times New Roman"/>
          <w:sz w:val="24"/>
          <w:szCs w:val="24"/>
        </w:rPr>
        <w:t xml:space="preserve"> фоновото ниво за този замърсител</w:t>
      </w:r>
      <w:r w:rsidR="006B113E">
        <w:rPr>
          <w:rFonts w:ascii="Times New Roman" w:hAnsi="Times New Roman"/>
          <w:sz w:val="24"/>
          <w:szCs w:val="24"/>
        </w:rPr>
        <w:t xml:space="preserve"> (Табл.8), като особено осезаемо е то през месеците януари-март 2020 г. </w:t>
      </w:r>
      <w:r w:rsidR="00F558DC" w:rsidRPr="00F558DC">
        <w:rPr>
          <w:rFonts w:ascii="Times New Roman" w:hAnsi="Times New Roman"/>
          <w:sz w:val="24"/>
          <w:szCs w:val="24"/>
        </w:rPr>
        <w:t xml:space="preserve"> </w:t>
      </w:r>
    </w:p>
    <w:p w:rsidR="00DD33FF" w:rsidRDefault="006B113E" w:rsidP="00255D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D33FF" w:rsidRDefault="00DD33FF" w:rsidP="00255D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D33FF" w:rsidRDefault="00DD33FF" w:rsidP="00255D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4612" w:rsidRPr="006B113E" w:rsidRDefault="00B34920" w:rsidP="00B34920">
      <w:pPr>
        <w:spacing w:after="0" w:line="240" w:lineRule="auto"/>
        <w:ind w:left="8640" w:right="-66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</w:t>
      </w:r>
      <w:r w:rsidR="006B113E" w:rsidRPr="006B113E">
        <w:rPr>
          <w:rFonts w:ascii="Times New Roman" w:hAnsi="Times New Roman"/>
          <w:b/>
          <w:bCs/>
          <w:sz w:val="24"/>
          <w:szCs w:val="24"/>
        </w:rPr>
        <w:t>Табл.13</w:t>
      </w:r>
    </w:p>
    <w:tbl>
      <w:tblPr>
        <w:tblStyle w:val="aa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1516"/>
        <w:gridCol w:w="1528"/>
        <w:gridCol w:w="1385"/>
        <w:gridCol w:w="1516"/>
        <w:gridCol w:w="1516"/>
        <w:gridCol w:w="1470"/>
      </w:tblGrid>
      <w:tr w:rsidR="00B14D6F" w:rsidTr="00DD33FF">
        <w:tc>
          <w:tcPr>
            <w:tcW w:w="1809" w:type="dxa"/>
          </w:tcPr>
          <w:p w:rsidR="00B14D6F" w:rsidRPr="00B14D6F" w:rsidRDefault="00B14D6F" w:rsidP="00DD33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4D6F">
              <w:rPr>
                <w:rFonts w:ascii="Times New Roman" w:hAnsi="Times New Roman"/>
                <w:b/>
                <w:bCs/>
                <w:sz w:val="20"/>
                <w:szCs w:val="20"/>
              </w:rPr>
              <w:t>Пункт за мониторинг</w:t>
            </w:r>
          </w:p>
        </w:tc>
        <w:tc>
          <w:tcPr>
            <w:tcW w:w="1516" w:type="dxa"/>
          </w:tcPr>
          <w:p w:rsidR="008939A8" w:rsidRDefault="00B14D6F" w:rsidP="00DD33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4D6F">
              <w:rPr>
                <w:rFonts w:ascii="Times New Roman" w:hAnsi="Times New Roman"/>
                <w:b/>
                <w:bCs/>
                <w:sz w:val="20"/>
                <w:szCs w:val="20"/>
              </w:rPr>
              <w:t>Брой регистрирани проби през зимния п</w:t>
            </w:r>
            <w:r w:rsidR="006B113E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B14D6F">
              <w:rPr>
                <w:rFonts w:ascii="Times New Roman" w:hAnsi="Times New Roman"/>
                <w:b/>
                <w:bCs/>
                <w:sz w:val="20"/>
                <w:szCs w:val="20"/>
              </w:rPr>
              <w:t>риод</w:t>
            </w:r>
          </w:p>
          <w:p w:rsidR="00B14D6F" w:rsidRPr="00B14D6F" w:rsidRDefault="00B14D6F" w:rsidP="00DD33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4D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2018-2019</w:t>
            </w:r>
          </w:p>
        </w:tc>
        <w:tc>
          <w:tcPr>
            <w:tcW w:w="1528" w:type="dxa"/>
          </w:tcPr>
          <w:p w:rsidR="007A3AC6" w:rsidRDefault="00B14D6F" w:rsidP="00DD33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14D6F">
              <w:rPr>
                <w:rFonts w:ascii="Times New Roman" w:hAnsi="Times New Roman"/>
                <w:b/>
                <w:bCs/>
                <w:sz w:val="20"/>
                <w:szCs w:val="20"/>
              </w:rPr>
              <w:t>Регистрирани превишения на СДН през зимния п</w:t>
            </w:r>
            <w:r w:rsidR="006B113E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B14D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риод </w:t>
            </w:r>
          </w:p>
          <w:p w:rsidR="00B14D6F" w:rsidRPr="00B14D6F" w:rsidRDefault="00B14D6F" w:rsidP="00DD33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14D6F">
              <w:rPr>
                <w:rFonts w:ascii="Times New Roman" w:hAnsi="Times New Roman"/>
                <w:b/>
                <w:bCs/>
                <w:sz w:val="20"/>
                <w:szCs w:val="20"/>
              </w:rPr>
              <w:t>2018-2019</w:t>
            </w:r>
          </w:p>
        </w:tc>
        <w:tc>
          <w:tcPr>
            <w:tcW w:w="1385" w:type="dxa"/>
          </w:tcPr>
          <w:p w:rsidR="007A3AC6" w:rsidRDefault="00B14D6F" w:rsidP="00DD33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4D6F">
              <w:rPr>
                <w:rFonts w:ascii="Times New Roman" w:hAnsi="Times New Roman"/>
                <w:b/>
                <w:bCs/>
                <w:sz w:val="20"/>
                <w:szCs w:val="20"/>
              </w:rPr>
              <w:t>% превишения през зимния п</w:t>
            </w:r>
            <w:r w:rsidR="006B113E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B14D6F">
              <w:rPr>
                <w:rFonts w:ascii="Times New Roman" w:hAnsi="Times New Roman"/>
                <w:b/>
                <w:bCs/>
                <w:sz w:val="20"/>
                <w:szCs w:val="20"/>
              </w:rPr>
              <w:t>риод</w:t>
            </w:r>
          </w:p>
          <w:p w:rsidR="00B14D6F" w:rsidRPr="00B14D6F" w:rsidRDefault="00B14D6F" w:rsidP="00DD33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4D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2018-2019</w:t>
            </w:r>
          </w:p>
        </w:tc>
        <w:tc>
          <w:tcPr>
            <w:tcW w:w="1516" w:type="dxa"/>
          </w:tcPr>
          <w:p w:rsidR="007A3AC6" w:rsidRDefault="00B14D6F" w:rsidP="00DD33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4D6F">
              <w:rPr>
                <w:rFonts w:ascii="Times New Roman" w:hAnsi="Times New Roman"/>
                <w:b/>
                <w:bCs/>
                <w:sz w:val="20"/>
                <w:szCs w:val="20"/>
              </w:rPr>
              <w:t>Брой регистрирани проби през зимния п</w:t>
            </w:r>
            <w:r w:rsidR="006B113E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B14D6F">
              <w:rPr>
                <w:rFonts w:ascii="Times New Roman" w:hAnsi="Times New Roman"/>
                <w:b/>
                <w:bCs/>
                <w:sz w:val="20"/>
                <w:szCs w:val="20"/>
              </w:rPr>
              <w:t>риод</w:t>
            </w:r>
          </w:p>
          <w:p w:rsidR="00B14D6F" w:rsidRPr="00B14D6F" w:rsidRDefault="00B14D6F" w:rsidP="00DD33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14D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2019-2020</w:t>
            </w:r>
          </w:p>
        </w:tc>
        <w:tc>
          <w:tcPr>
            <w:tcW w:w="1516" w:type="dxa"/>
          </w:tcPr>
          <w:p w:rsidR="007A3AC6" w:rsidRDefault="00B14D6F" w:rsidP="00DD33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14D6F">
              <w:rPr>
                <w:rFonts w:ascii="Times New Roman" w:hAnsi="Times New Roman"/>
                <w:b/>
                <w:bCs/>
                <w:sz w:val="20"/>
                <w:szCs w:val="20"/>
              </w:rPr>
              <w:t>Брой регистрирани проби през зимния п</w:t>
            </w:r>
            <w:r w:rsidR="006B113E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B14D6F">
              <w:rPr>
                <w:rFonts w:ascii="Times New Roman" w:hAnsi="Times New Roman"/>
                <w:b/>
                <w:bCs/>
                <w:sz w:val="20"/>
                <w:szCs w:val="20"/>
              </w:rPr>
              <w:t>риод</w:t>
            </w:r>
          </w:p>
          <w:p w:rsidR="00B14D6F" w:rsidRPr="00B14D6F" w:rsidRDefault="00B14D6F" w:rsidP="00DD33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14D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2019-2020</w:t>
            </w:r>
          </w:p>
        </w:tc>
        <w:tc>
          <w:tcPr>
            <w:tcW w:w="1470" w:type="dxa"/>
          </w:tcPr>
          <w:p w:rsidR="009B626B" w:rsidRDefault="00B14D6F" w:rsidP="00DD33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14D6F">
              <w:rPr>
                <w:rFonts w:ascii="Times New Roman" w:hAnsi="Times New Roman"/>
                <w:b/>
                <w:bCs/>
                <w:sz w:val="20"/>
                <w:szCs w:val="20"/>
              </w:rPr>
              <w:t>% превишения през зимния п</w:t>
            </w:r>
            <w:r w:rsidR="006B113E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B14D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риод </w:t>
            </w:r>
          </w:p>
          <w:p w:rsidR="00B14D6F" w:rsidRPr="00B14D6F" w:rsidRDefault="00B14D6F" w:rsidP="00DD33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4D6F">
              <w:rPr>
                <w:rFonts w:ascii="Times New Roman" w:hAnsi="Times New Roman"/>
                <w:b/>
                <w:bCs/>
                <w:sz w:val="20"/>
                <w:szCs w:val="20"/>
              </w:rPr>
              <w:t>2019-2020</w:t>
            </w:r>
          </w:p>
        </w:tc>
      </w:tr>
      <w:tr w:rsidR="00B14D6F" w:rsidTr="00DD33FF">
        <w:tc>
          <w:tcPr>
            <w:tcW w:w="1809" w:type="dxa"/>
          </w:tcPr>
          <w:p w:rsidR="00B14D6F" w:rsidRPr="00B14D6F" w:rsidRDefault="00B14D6F" w:rsidP="00B14D6F">
            <w:pPr>
              <w:rPr>
                <w:rFonts w:ascii="Times New Roman" w:hAnsi="Times New Roman"/>
                <w:sz w:val="20"/>
                <w:szCs w:val="20"/>
              </w:rPr>
            </w:pPr>
            <w:r w:rsidRPr="00B14D6F">
              <w:rPr>
                <w:rFonts w:ascii="Times New Roman" w:hAnsi="Times New Roman"/>
                <w:sz w:val="20"/>
                <w:szCs w:val="20"/>
              </w:rPr>
              <w:t>ДОАС ОПСИС</w:t>
            </w:r>
          </w:p>
        </w:tc>
        <w:tc>
          <w:tcPr>
            <w:tcW w:w="1516" w:type="dxa"/>
          </w:tcPr>
          <w:p w:rsidR="00B14D6F" w:rsidRPr="00B14D6F" w:rsidRDefault="00B14D6F" w:rsidP="00B1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528" w:type="dxa"/>
          </w:tcPr>
          <w:p w:rsidR="00B14D6F" w:rsidRPr="00B14D6F" w:rsidRDefault="00B14D6F" w:rsidP="00B1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5" w:type="dxa"/>
          </w:tcPr>
          <w:p w:rsidR="00B14D6F" w:rsidRPr="00B14D6F" w:rsidRDefault="00B14D6F" w:rsidP="00B1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16" w:type="dxa"/>
          </w:tcPr>
          <w:p w:rsidR="00B14D6F" w:rsidRPr="00B14D6F" w:rsidRDefault="00B14D6F" w:rsidP="00B1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516" w:type="dxa"/>
          </w:tcPr>
          <w:p w:rsidR="00B14D6F" w:rsidRPr="00B14D6F" w:rsidRDefault="00B14D6F" w:rsidP="00B1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70" w:type="dxa"/>
          </w:tcPr>
          <w:p w:rsidR="00B14D6F" w:rsidRPr="00B14D6F" w:rsidRDefault="00B14D6F" w:rsidP="00B1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14D6F" w:rsidTr="00DD33FF">
        <w:tc>
          <w:tcPr>
            <w:tcW w:w="1809" w:type="dxa"/>
          </w:tcPr>
          <w:p w:rsidR="00B14D6F" w:rsidRPr="00B14D6F" w:rsidRDefault="00B14D6F" w:rsidP="00B14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АИС „Д. Езерово“</w:t>
            </w:r>
          </w:p>
        </w:tc>
        <w:tc>
          <w:tcPr>
            <w:tcW w:w="1516" w:type="dxa"/>
          </w:tcPr>
          <w:p w:rsidR="00B14D6F" w:rsidRPr="00B14D6F" w:rsidRDefault="00B14D6F" w:rsidP="00B1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528" w:type="dxa"/>
          </w:tcPr>
          <w:p w:rsidR="00B14D6F" w:rsidRPr="00B14D6F" w:rsidRDefault="00B14D6F" w:rsidP="00B1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85" w:type="dxa"/>
          </w:tcPr>
          <w:p w:rsidR="00B14D6F" w:rsidRPr="00B14D6F" w:rsidRDefault="00B14D6F" w:rsidP="00B1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16" w:type="dxa"/>
          </w:tcPr>
          <w:p w:rsidR="00B14D6F" w:rsidRPr="00B14D6F" w:rsidRDefault="00B14D6F" w:rsidP="00B1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516" w:type="dxa"/>
          </w:tcPr>
          <w:p w:rsidR="00B14D6F" w:rsidRPr="00B14D6F" w:rsidRDefault="00B14D6F" w:rsidP="00B1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70" w:type="dxa"/>
          </w:tcPr>
          <w:p w:rsidR="00B14D6F" w:rsidRPr="00B14D6F" w:rsidRDefault="00B14D6F" w:rsidP="00B1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B14D6F" w:rsidTr="00DD33FF">
        <w:tc>
          <w:tcPr>
            <w:tcW w:w="1809" w:type="dxa"/>
          </w:tcPr>
          <w:p w:rsidR="00B14D6F" w:rsidRPr="00B14D6F" w:rsidRDefault="00B14D6F" w:rsidP="00255D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АИС „М. Рудник“</w:t>
            </w:r>
          </w:p>
        </w:tc>
        <w:tc>
          <w:tcPr>
            <w:tcW w:w="1516" w:type="dxa"/>
          </w:tcPr>
          <w:p w:rsidR="00B14D6F" w:rsidRPr="00B14D6F" w:rsidRDefault="00B14D6F" w:rsidP="00B1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528" w:type="dxa"/>
          </w:tcPr>
          <w:p w:rsidR="00B14D6F" w:rsidRPr="00B14D6F" w:rsidRDefault="00B14D6F" w:rsidP="00B1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5" w:type="dxa"/>
          </w:tcPr>
          <w:p w:rsidR="00B14D6F" w:rsidRPr="00B14D6F" w:rsidRDefault="00B14D6F" w:rsidP="00B1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16" w:type="dxa"/>
          </w:tcPr>
          <w:p w:rsidR="00B14D6F" w:rsidRPr="00B14D6F" w:rsidRDefault="00B14D6F" w:rsidP="00B1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516" w:type="dxa"/>
          </w:tcPr>
          <w:p w:rsidR="00B14D6F" w:rsidRPr="00B14D6F" w:rsidRDefault="00B14D6F" w:rsidP="00B1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70" w:type="dxa"/>
          </w:tcPr>
          <w:p w:rsidR="00B14D6F" w:rsidRPr="00B14D6F" w:rsidRDefault="00B14D6F" w:rsidP="00B1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14D6F" w:rsidTr="00DD33FF">
        <w:tc>
          <w:tcPr>
            <w:tcW w:w="1809" w:type="dxa"/>
          </w:tcPr>
          <w:p w:rsidR="00B14D6F" w:rsidRPr="00B14D6F" w:rsidRDefault="00B14D6F" w:rsidP="00255D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АИС „Несебър“</w:t>
            </w:r>
          </w:p>
        </w:tc>
        <w:tc>
          <w:tcPr>
            <w:tcW w:w="1516" w:type="dxa"/>
          </w:tcPr>
          <w:p w:rsidR="00B14D6F" w:rsidRPr="00B14D6F" w:rsidRDefault="00B14D6F" w:rsidP="00B1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528" w:type="dxa"/>
          </w:tcPr>
          <w:p w:rsidR="00B14D6F" w:rsidRPr="00B14D6F" w:rsidRDefault="00B14D6F" w:rsidP="00B1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85" w:type="dxa"/>
          </w:tcPr>
          <w:p w:rsidR="00B14D6F" w:rsidRPr="00B14D6F" w:rsidRDefault="00B14D6F" w:rsidP="00B1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16" w:type="dxa"/>
          </w:tcPr>
          <w:p w:rsidR="00B14D6F" w:rsidRPr="00B14D6F" w:rsidRDefault="00B14D6F" w:rsidP="00B1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516" w:type="dxa"/>
          </w:tcPr>
          <w:p w:rsidR="00B14D6F" w:rsidRPr="00B14D6F" w:rsidRDefault="00B14D6F" w:rsidP="00B1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70" w:type="dxa"/>
          </w:tcPr>
          <w:p w:rsidR="00B14D6F" w:rsidRPr="00B14D6F" w:rsidRDefault="00B14D6F" w:rsidP="00B1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214612" w:rsidRDefault="00214612" w:rsidP="00255D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C3541" w:rsidRDefault="00F72E0E" w:rsidP="004F60F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предходния период </w:t>
      </w:r>
      <w:r w:rsidR="008939A8">
        <w:rPr>
          <w:rFonts w:ascii="Times New Roman" w:eastAsia="Times New Roman" w:hAnsi="Times New Roman" w:cs="Times New Roman"/>
          <w:sz w:val="24"/>
          <w:szCs w:val="24"/>
        </w:rPr>
        <w:t xml:space="preserve">(2018-2019 </w:t>
      </w:r>
      <w:r w:rsidR="003128A3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8939A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F6FA5">
        <w:rPr>
          <w:rFonts w:ascii="Times New Roman" w:eastAsia="Times New Roman" w:hAnsi="Times New Roman" w:cs="Times New Roman"/>
          <w:sz w:val="24"/>
          <w:szCs w:val="24"/>
        </w:rPr>
        <w:t xml:space="preserve">ните с наднормена концентрация на замърсителя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АИС „Долно Езерово“ са </w:t>
      </w:r>
      <w:r w:rsidR="006B113E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бр., в период</w:t>
      </w:r>
      <w:r w:rsidR="003128A3">
        <w:rPr>
          <w:rFonts w:ascii="Times New Roman" w:eastAsia="Times New Roman" w:hAnsi="Times New Roman" w:cs="Times New Roman"/>
          <w:sz w:val="24"/>
          <w:szCs w:val="24"/>
        </w:rPr>
        <w:t>а (2019-2020 г.)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8A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13E">
        <w:rPr>
          <w:rFonts w:ascii="Times New Roman" w:eastAsia="Times New Roman" w:hAnsi="Times New Roman" w:cs="Times New Roman"/>
          <w:sz w:val="24"/>
          <w:szCs w:val="24"/>
        </w:rPr>
        <w:t>52</w:t>
      </w:r>
      <w:r w:rsidR="00A26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0AA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012FD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6B113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което е </w:t>
      </w:r>
      <w:r w:rsidR="006B113E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B113E">
        <w:rPr>
          <w:rFonts w:ascii="Times New Roman" w:eastAsia="Times New Roman" w:hAnsi="Times New Roman" w:cs="Times New Roman"/>
          <w:sz w:val="24"/>
          <w:szCs w:val="24"/>
        </w:rPr>
        <w:t xml:space="preserve">почти </w:t>
      </w:r>
      <w:r>
        <w:rPr>
          <w:rFonts w:ascii="Times New Roman" w:eastAsia="Times New Roman" w:hAnsi="Times New Roman" w:cs="Times New Roman"/>
          <w:sz w:val="24"/>
          <w:szCs w:val="24"/>
        </w:rPr>
        <w:t>4 пъти</w:t>
      </w:r>
      <w:r w:rsidR="008939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16D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939A8">
        <w:rPr>
          <w:rFonts w:ascii="Times New Roman" w:eastAsia="Times New Roman" w:hAnsi="Times New Roman" w:cs="Times New Roman"/>
          <w:sz w:val="24"/>
          <w:szCs w:val="24"/>
        </w:rPr>
        <w:t>ато процентно изражение</w:t>
      </w:r>
      <w:r w:rsidR="00312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50D">
        <w:rPr>
          <w:rFonts w:ascii="Times New Roman" w:eastAsia="Times New Roman" w:hAnsi="Times New Roman" w:cs="Times New Roman"/>
          <w:sz w:val="24"/>
          <w:szCs w:val="24"/>
        </w:rPr>
        <w:t>(</w:t>
      </w:r>
      <w:r w:rsidR="008939A8">
        <w:rPr>
          <w:rFonts w:ascii="Times New Roman" w:eastAsia="Times New Roman" w:hAnsi="Times New Roman" w:cs="Times New Roman"/>
          <w:sz w:val="24"/>
          <w:szCs w:val="24"/>
        </w:rPr>
        <w:t xml:space="preserve">предвид разликата в броя на регистрираните проби през  </w:t>
      </w:r>
      <w:r w:rsidR="003128A3">
        <w:rPr>
          <w:rFonts w:ascii="Times New Roman" w:eastAsia="Times New Roman" w:hAnsi="Times New Roman" w:cs="Times New Roman"/>
          <w:sz w:val="24"/>
          <w:szCs w:val="24"/>
        </w:rPr>
        <w:t>зимния период</w:t>
      </w:r>
      <w:r w:rsidR="0019750D">
        <w:rPr>
          <w:rFonts w:ascii="Times New Roman" w:eastAsia="Times New Roman" w:hAnsi="Times New Roman" w:cs="Times New Roman"/>
          <w:sz w:val="24"/>
          <w:szCs w:val="24"/>
        </w:rPr>
        <w:t xml:space="preserve">) се наблюдава увеличение 2,2 пъти на регистрираните </w:t>
      </w:r>
      <w:r w:rsidR="00591056">
        <w:rPr>
          <w:rFonts w:ascii="Times New Roman" w:eastAsia="Times New Roman" w:hAnsi="Times New Roman" w:cs="Times New Roman"/>
          <w:sz w:val="24"/>
          <w:szCs w:val="24"/>
        </w:rPr>
        <w:t>превишения на СДН спр</w:t>
      </w:r>
      <w:r w:rsidR="0019750D">
        <w:rPr>
          <w:rFonts w:ascii="Times New Roman" w:eastAsia="Times New Roman" w:hAnsi="Times New Roman" w:cs="Times New Roman"/>
          <w:sz w:val="24"/>
          <w:szCs w:val="24"/>
        </w:rPr>
        <w:t xml:space="preserve">ямо общия брой регистрирани СДК. </w:t>
      </w:r>
      <w:r w:rsidR="00591056">
        <w:rPr>
          <w:rFonts w:ascii="Times New Roman" w:eastAsia="Times New Roman" w:hAnsi="Times New Roman" w:cs="Times New Roman"/>
          <w:sz w:val="24"/>
          <w:szCs w:val="24"/>
        </w:rPr>
        <w:t xml:space="preserve">(Табл.13). </w:t>
      </w:r>
    </w:p>
    <w:p w:rsidR="002C3541" w:rsidRDefault="00591056" w:rsidP="004F60F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Увеличение на дните с превишения се </w:t>
      </w:r>
      <w:r w:rsidR="00F72E0E">
        <w:rPr>
          <w:rFonts w:ascii="Times New Roman" w:eastAsia="Times New Roman" w:hAnsi="Times New Roman" w:cs="Times New Roman"/>
          <w:sz w:val="24"/>
          <w:szCs w:val="24"/>
        </w:rPr>
        <w:t xml:space="preserve">отчита и </w:t>
      </w:r>
      <w:r>
        <w:rPr>
          <w:rFonts w:ascii="Times New Roman" w:eastAsia="Times New Roman" w:hAnsi="Times New Roman" w:cs="Times New Roman"/>
          <w:sz w:val="24"/>
          <w:szCs w:val="24"/>
        </w:rPr>
        <w:t>в останалите два пункта в Бургас:</w:t>
      </w:r>
      <w:r w:rsidR="00F72E0E">
        <w:rPr>
          <w:rFonts w:ascii="Times New Roman" w:eastAsia="Times New Roman" w:hAnsi="Times New Roman" w:cs="Times New Roman"/>
          <w:sz w:val="24"/>
          <w:szCs w:val="24"/>
        </w:rPr>
        <w:t xml:space="preserve"> ДОАС-ОПСИС и АИС „</w:t>
      </w:r>
      <w:r>
        <w:rPr>
          <w:rFonts w:ascii="Times New Roman" w:eastAsia="Times New Roman" w:hAnsi="Times New Roman" w:cs="Times New Roman"/>
          <w:sz w:val="24"/>
          <w:szCs w:val="24"/>
        </w:rPr>
        <w:t>Меден Рудник</w:t>
      </w:r>
      <w:r w:rsidR="00F72E0E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 около</w:t>
      </w:r>
      <w:r w:rsidR="002C3541" w:rsidRPr="00CB73D4">
        <w:rPr>
          <w:rFonts w:ascii="Times New Roman" w:eastAsia="Times New Roman" w:hAnsi="Times New Roman" w:cs="Times New Roman"/>
          <w:sz w:val="24"/>
          <w:szCs w:val="24"/>
        </w:rPr>
        <w:t xml:space="preserve"> 1,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C3541" w:rsidRPr="00CB73D4">
        <w:rPr>
          <w:rFonts w:ascii="Times New Roman" w:eastAsia="Times New Roman" w:hAnsi="Times New Roman" w:cs="Times New Roman"/>
          <w:sz w:val="24"/>
          <w:szCs w:val="24"/>
        </w:rPr>
        <w:t xml:space="preserve"> пъти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0AA" w:rsidRPr="00CD5DA7" w:rsidRDefault="007A3AC6" w:rsidP="004F60F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260AA">
        <w:rPr>
          <w:rFonts w:ascii="Times New Roman" w:eastAsia="Times New Roman" w:hAnsi="Times New Roman" w:cs="Times New Roman"/>
          <w:sz w:val="24"/>
          <w:szCs w:val="24"/>
        </w:rPr>
        <w:t xml:space="preserve"> гр.</w:t>
      </w:r>
      <w:r w:rsidR="00591056">
        <w:rPr>
          <w:rFonts w:ascii="Times New Roman" w:eastAsia="Times New Roman" w:hAnsi="Times New Roman" w:cs="Times New Roman"/>
          <w:sz w:val="24"/>
          <w:szCs w:val="24"/>
        </w:rPr>
        <w:t xml:space="preserve"> Несебър</w:t>
      </w:r>
      <w:r w:rsidR="00A260AA" w:rsidRPr="00A26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0AA">
        <w:rPr>
          <w:rFonts w:ascii="Times New Roman" w:eastAsia="Times New Roman" w:hAnsi="Times New Roman" w:cs="Times New Roman"/>
          <w:sz w:val="24"/>
          <w:szCs w:val="24"/>
        </w:rPr>
        <w:t>се отчита</w:t>
      </w:r>
      <w:r w:rsidR="00591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0F8">
        <w:rPr>
          <w:rFonts w:ascii="Times New Roman" w:eastAsia="Times New Roman" w:hAnsi="Times New Roman" w:cs="Times New Roman"/>
          <w:sz w:val="24"/>
          <w:szCs w:val="24"/>
        </w:rPr>
        <w:t>трайно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056">
        <w:rPr>
          <w:rFonts w:ascii="Times New Roman" w:eastAsia="Times New Roman" w:hAnsi="Times New Roman" w:cs="Times New Roman"/>
          <w:sz w:val="24"/>
          <w:szCs w:val="24"/>
        </w:rPr>
        <w:t>намаление на дните с превишение на СДН</w:t>
      </w:r>
      <w:r w:rsidR="00A260AA" w:rsidRPr="004F6FA5">
        <w:rPr>
          <w:rFonts w:ascii="Times New Roman" w:eastAsia="Times New Roman" w:hAnsi="Times New Roman" w:cs="Times New Roman"/>
          <w:sz w:val="24"/>
          <w:szCs w:val="24"/>
        </w:rPr>
        <w:t xml:space="preserve"> на фини прахови частици</w:t>
      </w:r>
      <w:r w:rsidR="004F60F8">
        <w:rPr>
          <w:rFonts w:ascii="Times New Roman" w:eastAsia="Times New Roman" w:hAnsi="Times New Roman" w:cs="Times New Roman"/>
          <w:sz w:val="24"/>
          <w:szCs w:val="24"/>
        </w:rPr>
        <w:t>, което е тенденция в последните три</w:t>
      </w:r>
      <w:r w:rsidR="004F60F8" w:rsidRPr="004F6FA5">
        <w:rPr>
          <w:rFonts w:ascii="Times New Roman" w:eastAsia="Times New Roman" w:hAnsi="Times New Roman" w:cs="Times New Roman"/>
          <w:sz w:val="24"/>
          <w:szCs w:val="24"/>
        </w:rPr>
        <w:t xml:space="preserve"> зимни период</w:t>
      </w:r>
      <w:r w:rsidR="004F60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F60F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4F60F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A3AC6" w:rsidRDefault="007A3AC6" w:rsidP="006A248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2267" w:rsidRPr="006A2484" w:rsidRDefault="006A2484" w:rsidP="006A248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периода 01.10.2019 – 31.03.2020 г. и</w:t>
      </w:r>
      <w:r w:rsidR="00CF2267" w:rsidRPr="00085E7C">
        <w:rPr>
          <w:rFonts w:ascii="Times New Roman" w:eastAsia="Times New Roman" w:hAnsi="Times New Roman" w:cs="Times New Roman"/>
          <w:sz w:val="24"/>
          <w:szCs w:val="24"/>
        </w:rPr>
        <w:t xml:space="preserve">змервания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085E7C">
        <w:rPr>
          <w:rFonts w:ascii="Times New Roman" w:eastAsia="Times New Roman" w:hAnsi="Times New Roman" w:cs="Times New Roman"/>
          <w:sz w:val="24"/>
          <w:szCs w:val="24"/>
        </w:rPr>
        <w:t xml:space="preserve">Мобилната автоматична станция (МАС) на община Бургас </w:t>
      </w:r>
      <w:r w:rsidR="00CF2267" w:rsidRPr="00085E7C">
        <w:rPr>
          <w:rFonts w:ascii="Times New Roman" w:eastAsia="Times New Roman" w:hAnsi="Times New Roman" w:cs="Times New Roman"/>
          <w:sz w:val="24"/>
          <w:szCs w:val="24"/>
        </w:rPr>
        <w:t xml:space="preserve">са проведени в </w:t>
      </w:r>
      <w:r w:rsidR="00CF2267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2267" w:rsidRPr="00085E7C">
        <w:rPr>
          <w:rFonts w:ascii="Times New Roman" w:eastAsia="Times New Roman" w:hAnsi="Times New Roman" w:cs="Times New Roman"/>
          <w:sz w:val="24"/>
          <w:szCs w:val="24"/>
        </w:rPr>
        <w:t xml:space="preserve"> точки в град Бургас</w:t>
      </w:r>
      <w:r w:rsidR="00CF2267">
        <w:rPr>
          <w:rFonts w:ascii="Times New Roman" w:eastAsia="Times New Roman" w:hAnsi="Times New Roman" w:cs="Times New Roman"/>
          <w:sz w:val="24"/>
          <w:szCs w:val="24"/>
        </w:rPr>
        <w:t>:</w:t>
      </w:r>
      <w:r w:rsidR="00CF2267" w:rsidRPr="00085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>кръстовище на ул. „</w:t>
      </w:r>
      <w:proofErr w:type="spellStart"/>
      <w:r w:rsidRPr="006A2484">
        <w:rPr>
          <w:rFonts w:ascii="Times New Roman" w:eastAsia="Times New Roman" w:hAnsi="Times New Roman" w:cs="Times New Roman"/>
          <w:sz w:val="24"/>
          <w:szCs w:val="24"/>
        </w:rPr>
        <w:t>Фердинандова</w:t>
      </w:r>
      <w:proofErr w:type="spellEnd"/>
      <w:r w:rsidRPr="006A2484">
        <w:rPr>
          <w:rFonts w:ascii="Times New Roman" w:eastAsia="Times New Roman" w:hAnsi="Times New Roman" w:cs="Times New Roman"/>
          <w:sz w:val="24"/>
          <w:szCs w:val="24"/>
        </w:rPr>
        <w:t>“ и ул. „Мария Луиза</w:t>
      </w:r>
      <w:r w:rsidR="00CF2267" w:rsidRPr="006A2484">
        <w:rPr>
          <w:rFonts w:ascii="Times New Roman" w:eastAsia="Times New Roman" w:hAnsi="Times New Roman" w:cs="Times New Roman"/>
          <w:sz w:val="24"/>
          <w:szCs w:val="24"/>
        </w:rPr>
        <w:t>; кв. Долно Езерово (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 xml:space="preserve">кръстовище ул. "Г. </w:t>
      </w:r>
      <w:proofErr w:type="spellStart"/>
      <w:r w:rsidRPr="006A2484">
        <w:rPr>
          <w:rFonts w:ascii="Times New Roman" w:eastAsia="Times New Roman" w:hAnsi="Times New Roman" w:cs="Times New Roman"/>
          <w:sz w:val="24"/>
          <w:szCs w:val="24"/>
        </w:rPr>
        <w:t>Дълбошки</w:t>
      </w:r>
      <w:proofErr w:type="spellEnd"/>
      <w:r w:rsidRPr="006A2484">
        <w:rPr>
          <w:rFonts w:ascii="Times New Roman" w:eastAsia="Times New Roman" w:hAnsi="Times New Roman" w:cs="Times New Roman"/>
          <w:sz w:val="24"/>
          <w:szCs w:val="24"/>
        </w:rPr>
        <w:t xml:space="preserve">" и "Алабин") </w:t>
      </w:r>
      <w:r w:rsidR="002C3541" w:rsidRPr="006A248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F2267" w:rsidRPr="006A2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 xml:space="preserve">ж. к. „Лазур (градинката под бл.73,75). </w:t>
      </w:r>
      <w:r w:rsidR="00CF2267" w:rsidRPr="006A2484">
        <w:rPr>
          <w:rFonts w:ascii="Times New Roman" w:eastAsia="Times New Roman" w:hAnsi="Times New Roman" w:cs="Times New Roman"/>
          <w:sz w:val="24"/>
          <w:szCs w:val="24"/>
        </w:rPr>
        <w:t xml:space="preserve">Измерванията в кв. Долно Езерово са продължили от 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>06</w:t>
      </w:r>
      <w:r w:rsidR="00CF2267" w:rsidRPr="006A2484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2267" w:rsidRPr="006A2484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>9</w:t>
      </w:r>
      <w:r w:rsidR="00CF2267" w:rsidRPr="006A2484">
        <w:rPr>
          <w:rFonts w:ascii="Times New Roman" w:eastAsia="Times New Roman" w:hAnsi="Times New Roman" w:cs="Times New Roman"/>
          <w:sz w:val="24"/>
          <w:szCs w:val="24"/>
        </w:rPr>
        <w:t xml:space="preserve"> г. до 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>12</w:t>
      </w:r>
      <w:r w:rsidR="00CF2267" w:rsidRPr="006A2484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2267" w:rsidRPr="006A2484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F2267" w:rsidRPr="006A2484">
        <w:rPr>
          <w:rFonts w:ascii="Times New Roman" w:eastAsia="Times New Roman" w:hAnsi="Times New Roman" w:cs="Times New Roman"/>
          <w:sz w:val="24"/>
          <w:szCs w:val="24"/>
        </w:rPr>
        <w:t xml:space="preserve"> г., като са регистрирани 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2267" w:rsidRPr="006A2484">
        <w:rPr>
          <w:rFonts w:ascii="Times New Roman" w:eastAsia="Times New Roman" w:hAnsi="Times New Roman" w:cs="Times New Roman"/>
          <w:sz w:val="24"/>
          <w:szCs w:val="24"/>
        </w:rPr>
        <w:t xml:space="preserve"> бр. превишения на СДН. </w:t>
      </w:r>
      <w:r>
        <w:rPr>
          <w:rFonts w:ascii="Times New Roman" w:eastAsia="Times New Roman" w:hAnsi="Times New Roman" w:cs="Times New Roman"/>
          <w:sz w:val="24"/>
          <w:szCs w:val="24"/>
        </w:rPr>
        <w:t>Не са регистрирани превишения в останалите пунктове.</w:t>
      </w:r>
    </w:p>
    <w:p w:rsidR="00CF2267" w:rsidRDefault="00CF2267" w:rsidP="0042540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3541">
        <w:rPr>
          <w:rFonts w:ascii="Times New Roman" w:hAnsi="Times New Roman"/>
          <w:sz w:val="24"/>
          <w:szCs w:val="24"/>
        </w:rPr>
        <w:t>От месец ноември 2018 г. в к-с „Славейков“</w:t>
      </w:r>
      <w:r w:rsidR="00161095">
        <w:rPr>
          <w:rFonts w:ascii="Times New Roman" w:hAnsi="Times New Roman"/>
          <w:sz w:val="24"/>
          <w:szCs w:val="24"/>
        </w:rPr>
        <w:t>, до бл.25 функционира</w:t>
      </w:r>
      <w:r w:rsidRPr="002C3541">
        <w:rPr>
          <w:rFonts w:ascii="Times New Roman" w:hAnsi="Times New Roman"/>
          <w:sz w:val="24"/>
          <w:szCs w:val="24"/>
        </w:rPr>
        <w:t xml:space="preserve"> АИС, която </w:t>
      </w:r>
      <w:r w:rsidR="00161095">
        <w:rPr>
          <w:rFonts w:ascii="Times New Roman" w:hAnsi="Times New Roman"/>
          <w:sz w:val="24"/>
          <w:szCs w:val="24"/>
        </w:rPr>
        <w:t>регистрира</w:t>
      </w:r>
      <w:r w:rsidRPr="002C3541">
        <w:rPr>
          <w:rFonts w:ascii="Times New Roman" w:hAnsi="Times New Roman"/>
          <w:sz w:val="24"/>
          <w:szCs w:val="24"/>
        </w:rPr>
        <w:t xml:space="preserve"> нив</w:t>
      </w:r>
      <w:r w:rsidR="00161095">
        <w:rPr>
          <w:rFonts w:ascii="Times New Roman" w:hAnsi="Times New Roman"/>
          <w:sz w:val="24"/>
          <w:szCs w:val="24"/>
        </w:rPr>
        <w:t>ото</w:t>
      </w:r>
      <w:r w:rsidRPr="002C3541">
        <w:rPr>
          <w:rFonts w:ascii="Times New Roman" w:hAnsi="Times New Roman"/>
          <w:sz w:val="24"/>
          <w:szCs w:val="24"/>
        </w:rPr>
        <w:t xml:space="preserve"> на ФПЧ</w:t>
      </w:r>
      <w:r w:rsidRPr="002C3541">
        <w:rPr>
          <w:rFonts w:ascii="Times New Roman" w:hAnsi="Times New Roman"/>
          <w:sz w:val="24"/>
          <w:szCs w:val="24"/>
          <w:vertAlign w:val="subscript"/>
        </w:rPr>
        <w:t xml:space="preserve">10, </w:t>
      </w:r>
      <w:r w:rsidR="002C3541">
        <w:rPr>
          <w:rFonts w:ascii="Times New Roman" w:hAnsi="Times New Roman"/>
          <w:sz w:val="24"/>
          <w:szCs w:val="24"/>
        </w:rPr>
        <w:t>и</w:t>
      </w:r>
      <w:r w:rsidRPr="002C3541">
        <w:rPr>
          <w:rFonts w:ascii="Times New Roman" w:hAnsi="Times New Roman"/>
          <w:sz w:val="24"/>
          <w:szCs w:val="24"/>
        </w:rPr>
        <w:t xml:space="preserve"> разполага със стандартен набор метеорологични параметри. Пунктът </w:t>
      </w:r>
      <w:r w:rsidR="002C3541">
        <w:rPr>
          <w:rFonts w:ascii="Times New Roman" w:hAnsi="Times New Roman"/>
          <w:sz w:val="24"/>
          <w:szCs w:val="24"/>
        </w:rPr>
        <w:t xml:space="preserve"> е изграден от „</w:t>
      </w:r>
      <w:r w:rsidR="00882D26">
        <w:rPr>
          <w:rFonts w:ascii="Times New Roman" w:hAnsi="Times New Roman"/>
          <w:sz w:val="24"/>
          <w:szCs w:val="24"/>
        </w:rPr>
        <w:t xml:space="preserve">Кроношпан България“ ЕООД, </w:t>
      </w:r>
      <w:r w:rsidRPr="002C3541">
        <w:rPr>
          <w:rFonts w:ascii="Times New Roman" w:hAnsi="Times New Roman"/>
          <w:sz w:val="24"/>
          <w:szCs w:val="24"/>
        </w:rPr>
        <w:t xml:space="preserve">може да бъде класифициран като градски фонов пункт с обхват от 100 m до 2 </w:t>
      </w:r>
      <w:proofErr w:type="spellStart"/>
      <w:r w:rsidRPr="002C3541">
        <w:rPr>
          <w:rFonts w:ascii="Times New Roman" w:hAnsi="Times New Roman"/>
          <w:sz w:val="24"/>
          <w:szCs w:val="24"/>
        </w:rPr>
        <w:t>km</w:t>
      </w:r>
      <w:proofErr w:type="spellEnd"/>
      <w:r w:rsidRPr="002C3541">
        <w:rPr>
          <w:rFonts w:ascii="Times New Roman" w:hAnsi="Times New Roman"/>
          <w:sz w:val="24"/>
          <w:szCs w:val="24"/>
        </w:rPr>
        <w:t>. Районът основно е под въздействието на интензивен автомобилен трафик, пренос на емисии от дейността на „Кроношпан България“ ЕООД и „Топлофикация Бургас“ ЕАД, както и пренос на емисии от технологичната дейност на „Лукойл Нефтохим Бургас“ АД</w:t>
      </w:r>
      <w:r w:rsidR="002C3541">
        <w:rPr>
          <w:rFonts w:ascii="Times New Roman" w:hAnsi="Times New Roman"/>
          <w:sz w:val="24"/>
          <w:szCs w:val="24"/>
        </w:rPr>
        <w:t xml:space="preserve">.  </w:t>
      </w:r>
      <w:r w:rsidR="007863ED">
        <w:rPr>
          <w:rFonts w:ascii="Times New Roman" w:hAnsi="Times New Roman"/>
          <w:sz w:val="24"/>
          <w:szCs w:val="24"/>
        </w:rPr>
        <w:t xml:space="preserve">За периода от </w:t>
      </w:r>
      <w:r w:rsidR="00161095">
        <w:rPr>
          <w:rFonts w:ascii="Times New Roman" w:hAnsi="Times New Roman"/>
          <w:sz w:val="24"/>
          <w:szCs w:val="24"/>
        </w:rPr>
        <w:t>01.1</w:t>
      </w:r>
      <w:r w:rsidR="00A27FC4">
        <w:rPr>
          <w:rFonts w:ascii="Times New Roman" w:hAnsi="Times New Roman"/>
          <w:sz w:val="24"/>
          <w:szCs w:val="24"/>
        </w:rPr>
        <w:t>0</w:t>
      </w:r>
      <w:r w:rsidR="00161095">
        <w:rPr>
          <w:rFonts w:ascii="Times New Roman" w:hAnsi="Times New Roman"/>
          <w:sz w:val="24"/>
          <w:szCs w:val="24"/>
        </w:rPr>
        <w:t>.201</w:t>
      </w:r>
      <w:r w:rsidR="00A27FC4">
        <w:rPr>
          <w:rFonts w:ascii="Times New Roman" w:hAnsi="Times New Roman"/>
          <w:sz w:val="24"/>
          <w:szCs w:val="24"/>
        </w:rPr>
        <w:t>9</w:t>
      </w:r>
      <w:r w:rsidR="00161095">
        <w:rPr>
          <w:rFonts w:ascii="Times New Roman" w:hAnsi="Times New Roman"/>
          <w:sz w:val="24"/>
          <w:szCs w:val="24"/>
        </w:rPr>
        <w:t xml:space="preserve"> г. до 31.03.20</w:t>
      </w:r>
      <w:r w:rsidR="00A27FC4">
        <w:rPr>
          <w:rFonts w:ascii="Times New Roman" w:hAnsi="Times New Roman"/>
          <w:sz w:val="24"/>
          <w:szCs w:val="24"/>
        </w:rPr>
        <w:t>20</w:t>
      </w:r>
      <w:r w:rsidR="00161095">
        <w:rPr>
          <w:rFonts w:ascii="Times New Roman" w:hAnsi="Times New Roman"/>
          <w:sz w:val="24"/>
          <w:szCs w:val="24"/>
        </w:rPr>
        <w:t xml:space="preserve"> г. са регистрирани </w:t>
      </w:r>
      <w:r w:rsidR="00A27FC4">
        <w:rPr>
          <w:rFonts w:ascii="Times New Roman" w:hAnsi="Times New Roman"/>
          <w:sz w:val="24"/>
          <w:szCs w:val="24"/>
        </w:rPr>
        <w:t>10</w:t>
      </w:r>
      <w:r w:rsidR="00161095">
        <w:rPr>
          <w:rFonts w:ascii="Times New Roman" w:hAnsi="Times New Roman"/>
          <w:sz w:val="24"/>
          <w:szCs w:val="24"/>
        </w:rPr>
        <w:t xml:space="preserve"> бр. превишения на СДН </w:t>
      </w:r>
      <w:r w:rsidR="00161095" w:rsidRPr="00085E7C">
        <w:rPr>
          <w:rFonts w:ascii="Times New Roman" w:eastAsia="Times New Roman" w:hAnsi="Times New Roman" w:cs="Times New Roman"/>
          <w:sz w:val="24"/>
          <w:szCs w:val="24"/>
        </w:rPr>
        <w:t>на ФПЧ</w:t>
      </w:r>
      <w:r w:rsidR="00161095" w:rsidRPr="00EA40C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="00A27FC4">
        <w:rPr>
          <w:rFonts w:ascii="Times New Roman" w:eastAsia="Times New Roman" w:hAnsi="Times New Roman" w:cs="Times New Roman"/>
          <w:sz w:val="24"/>
          <w:szCs w:val="24"/>
        </w:rPr>
        <w:t xml:space="preserve"> през месеците декември, януари и март.</w:t>
      </w:r>
      <w:r w:rsidR="00161095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</w:p>
    <w:p w:rsidR="00CF2267" w:rsidRPr="004A3D0D" w:rsidRDefault="00CF2267" w:rsidP="0042540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2540E" w:rsidRPr="00A05A64" w:rsidRDefault="00085E7C" w:rsidP="00FB15F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Най-</w:t>
      </w:r>
      <w:r w:rsidR="002C35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съществен </w:t>
      </w:r>
      <w:r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принос за замърсяването </w:t>
      </w:r>
      <w:r w:rsidR="00A05A64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на атмосферния въздух </w:t>
      </w:r>
      <w:r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през</w:t>
      </w:r>
      <w:r w:rsidR="0042540E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оценявания </w:t>
      </w:r>
      <w:r w:rsidR="00B661C4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зимен</w:t>
      </w:r>
      <w:r w:rsidR="0042540E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период</w:t>
      </w:r>
      <w:r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 показател фини прахови частици</w:t>
      </w:r>
      <w:r w:rsidR="0042540E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има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C5A">
        <w:rPr>
          <w:rFonts w:ascii="Times New Roman" w:eastAsia="Times New Roman" w:hAnsi="Times New Roman" w:cs="Times New Roman"/>
          <w:sz w:val="24"/>
          <w:szCs w:val="24"/>
        </w:rPr>
        <w:t xml:space="preserve">битовия сектор чрез 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>използване</w:t>
      </w:r>
      <w:r w:rsidRPr="00A05A64">
        <w:rPr>
          <w:rFonts w:ascii="Times New Roman" w:eastAsia="Times New Roman" w:hAnsi="Times New Roman" w:cs="Times New Roman"/>
          <w:sz w:val="24"/>
          <w:szCs w:val="24"/>
        </w:rPr>
        <w:t>то на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 xml:space="preserve"> горива за отопление</w:t>
      </w:r>
      <w:r w:rsidRPr="00A05A64">
        <w:rPr>
          <w:rFonts w:ascii="Times New Roman" w:eastAsia="Times New Roman" w:hAnsi="Times New Roman" w:cs="Times New Roman"/>
          <w:sz w:val="24"/>
          <w:szCs w:val="24"/>
        </w:rPr>
        <w:t xml:space="preserve"> с лоши екологични </w:t>
      </w:r>
      <w:r w:rsidR="009F6FE6" w:rsidRPr="00A05A64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="00A05A64" w:rsidRPr="00A05A64">
        <w:rPr>
          <w:rFonts w:ascii="Times New Roman" w:eastAsia="Times New Roman" w:hAnsi="Times New Roman" w:cs="Times New Roman"/>
          <w:sz w:val="24"/>
          <w:szCs w:val="24"/>
        </w:rPr>
        <w:t xml:space="preserve"> (дърва с висока влажност, въглища и брикети с високо пепелно съдържание и др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26DA">
        <w:rPr>
          <w:rFonts w:ascii="Times New Roman" w:eastAsia="Times New Roman" w:hAnsi="Times New Roman" w:cs="Times New Roman"/>
          <w:sz w:val="24"/>
          <w:szCs w:val="24"/>
        </w:rPr>
        <w:t>)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A64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Влияние оказва</w:t>
      </w:r>
      <w:r w:rsidR="00EA40CA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A05A64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06C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="00A05A64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транспорта</w:t>
      </w:r>
      <w:r w:rsidR="00CB09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ДОАС-ОПСИС и АИС „Несебър“)</w:t>
      </w:r>
      <w:r w:rsidR="00A05A64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, състоянието на пътната и прилежаща инфраструктура, строителните дейности</w:t>
      </w:r>
      <w:r w:rsidR="003406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05A64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и промишления сектор.</w:t>
      </w:r>
    </w:p>
    <w:p w:rsidR="00DD651D" w:rsidRDefault="0042540E" w:rsidP="00FB15F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Неблагоприятните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метеорологични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условия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F6FE6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през зимния период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рефлектират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силно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върху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ниско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емитиращите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източници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–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транспорт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(с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целогодишно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действие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и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битово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отопление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със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сезонно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действие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в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пряка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зависимост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температурата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околната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среда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192AB7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9E76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206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Текущия зимен период се характеризира с високи температури, нетипични за </w:t>
      </w:r>
      <w:r w:rsidR="008939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сезона. </w:t>
      </w:r>
    </w:p>
    <w:p w:rsidR="0042540E" w:rsidRPr="004A3D0D" w:rsidRDefault="00DD651D" w:rsidP="00FB15F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BC5E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През периода 26.03. – 30.03.2020 г. </w:t>
      </w:r>
      <w:r w:rsidR="008939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="00BC5E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трите пункта за мониторинг в Бургас, АИС Кроношпан, както и пункта в гр. Несебър </w:t>
      </w:r>
      <w:r w:rsidR="008939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</w:t>
      </w:r>
      <w:r w:rsidR="00BC5E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отчитат високи концентрации на замърсителя </w:t>
      </w:r>
      <w:r w:rsidR="00BC5E9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ФПЧ</w:t>
      </w:r>
      <w:r w:rsidR="00BC5E92" w:rsidRPr="00BC5E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10</w:t>
      </w:r>
      <w:r w:rsidR="00BC5E92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което се дължи на неблагоприятни метеорологични условия предизвикани от силен вятър</w:t>
      </w:r>
      <w:r w:rsidR="007206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="004C6945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транграничен</w:t>
      </w:r>
      <w:proofErr w:type="spellEnd"/>
      <w:r w:rsidR="004C69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206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пренос </w:t>
      </w:r>
      <w:r w:rsidR="004C6945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7206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прахови частици</w:t>
      </w:r>
      <w:r w:rsidR="004C69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района на Аралско море.</w:t>
      </w:r>
    </w:p>
    <w:p w:rsidR="0042540E" w:rsidRPr="004A3D0D" w:rsidRDefault="0042540E" w:rsidP="0042540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</w:rPr>
      </w:pPr>
      <w:r w:rsidRPr="004A3D0D"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</w:rPr>
        <w:t xml:space="preserve">   </w:t>
      </w:r>
    </w:p>
    <w:p w:rsidR="0042540E" w:rsidRPr="004A3D0D" w:rsidRDefault="0042540E" w:rsidP="0042540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</w:rPr>
      </w:pPr>
    </w:p>
    <w:p w:rsidR="0042540E" w:rsidRPr="00101402" w:rsidRDefault="0042540E" w:rsidP="0042540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10140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Озон</w:t>
      </w:r>
    </w:p>
    <w:p w:rsidR="0042540E" w:rsidRPr="004A3D0D" w:rsidRDefault="0042540E" w:rsidP="0042540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bg-BG"/>
        </w:rPr>
      </w:pPr>
    </w:p>
    <w:p w:rsidR="0094570C" w:rsidRDefault="0094570C" w:rsidP="005B56D5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В </w:t>
      </w:r>
      <w:proofErr w:type="spellStart"/>
      <w:r w:rsidRPr="000B57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четирите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пункта не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са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регистрирани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превишения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прага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информиране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населението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(ПИН-180</w:t>
      </w:r>
      <w:r w:rsidRPr="00A05A6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A05A6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1014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) и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прага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предупреждаване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населението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(ППН-240</w:t>
      </w:r>
      <w:r w:rsidRPr="00A05A6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A05A6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1014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). </w:t>
      </w:r>
      <w:r w:rsidR="002C3541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  </w:t>
      </w:r>
      <w:r w:rsidR="00A05A64" w:rsidRPr="001014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Концентрациите на замърсителя </w:t>
      </w:r>
      <w:r w:rsidR="00101402" w:rsidRPr="001014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далеч под краткосрочната целева норма от 120 </w:t>
      </w:r>
      <w:r w:rsidR="00101402" w:rsidRPr="001014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="00101402" w:rsidRPr="005B56D5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="00101402" w:rsidRPr="005B56D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42540E" w:rsidRPr="005B56D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5B56D5" w:rsidRPr="0094570C" w:rsidRDefault="005B56D5" w:rsidP="005B56D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D45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Таблица 5 от Приложение №3 към чл. 5, 6, 7, чл. 18, ал. 1 и чл. 19, ал. 1 от Наредбата КЦН не трябва да се превишава повече от 25 дни за календарна година, осреднено за тригодишен период. И в четирите пункта </w:t>
      </w:r>
      <w:r w:rsidR="00662C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мониторинг </w:t>
      </w:r>
      <w:r w:rsidRPr="00D45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броят на дните с превишения на КЦН е под нормативно определеното. </w:t>
      </w:r>
    </w:p>
    <w:p w:rsidR="00182CA5" w:rsidRDefault="00182CA5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7F0A56" w:rsidRDefault="007F0A56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42540E" w:rsidRDefault="00830417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D45C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8.</w:t>
      </w:r>
      <w:r w:rsidR="00106C5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r w:rsidRPr="00D45C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ЗАКЛЮЧЕНИЕ</w:t>
      </w:r>
    </w:p>
    <w:p w:rsidR="000607C8" w:rsidRDefault="000607C8" w:rsidP="0042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5F1" w:rsidRPr="00B03CD4" w:rsidRDefault="000607C8" w:rsidP="00B03C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CD4">
        <w:rPr>
          <w:rFonts w:ascii="Times New Roman" w:hAnsi="Times New Roman" w:cs="Times New Roman"/>
          <w:sz w:val="24"/>
          <w:szCs w:val="24"/>
        </w:rPr>
        <w:t>Замърсяването с фини прахови частици продължава да бъде основен проблем</w:t>
      </w:r>
      <w:r w:rsidR="00FB15F1" w:rsidRPr="00B03CD4">
        <w:rPr>
          <w:rFonts w:ascii="Times New Roman" w:hAnsi="Times New Roman" w:cs="Times New Roman"/>
          <w:sz w:val="24"/>
          <w:szCs w:val="24"/>
        </w:rPr>
        <w:t xml:space="preserve">. </w:t>
      </w:r>
      <w:r w:rsidRPr="00B03CD4">
        <w:rPr>
          <w:rFonts w:ascii="Times New Roman" w:hAnsi="Times New Roman" w:cs="Times New Roman"/>
          <w:sz w:val="24"/>
          <w:szCs w:val="24"/>
        </w:rPr>
        <w:t>За разрешаването му се търси прилагане на финансови и законодателни мерки на национално ниво за битовото отопление на гражданите през студените месеци, с приоритет за използване на централно топлоснабдяване, природен газ и еко-</w:t>
      </w:r>
      <w:proofErr w:type="spellStart"/>
      <w:r w:rsidRPr="00B03CD4">
        <w:rPr>
          <w:rFonts w:ascii="Times New Roman" w:hAnsi="Times New Roman" w:cs="Times New Roman"/>
          <w:sz w:val="24"/>
          <w:szCs w:val="24"/>
        </w:rPr>
        <w:t>пелети</w:t>
      </w:r>
      <w:proofErr w:type="spellEnd"/>
      <w:r w:rsidRPr="00B03CD4">
        <w:rPr>
          <w:rFonts w:ascii="Times New Roman" w:hAnsi="Times New Roman" w:cs="Times New Roman"/>
          <w:sz w:val="24"/>
          <w:szCs w:val="24"/>
        </w:rPr>
        <w:t xml:space="preserve"> и брикет</w:t>
      </w:r>
      <w:r w:rsidR="00FB15F1" w:rsidRPr="00B03CD4">
        <w:rPr>
          <w:rFonts w:ascii="Times New Roman" w:hAnsi="Times New Roman" w:cs="Times New Roman"/>
          <w:sz w:val="24"/>
          <w:szCs w:val="24"/>
        </w:rPr>
        <w:t>и за сметка на въглища и дърва.</w:t>
      </w:r>
    </w:p>
    <w:p w:rsidR="00406B52" w:rsidRDefault="00406B52" w:rsidP="00B325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607C8" w:rsidRPr="00B03CD4">
        <w:rPr>
          <w:rFonts w:ascii="Times New Roman" w:hAnsi="Times New Roman" w:cs="Times New Roman"/>
          <w:sz w:val="24"/>
          <w:szCs w:val="24"/>
        </w:rPr>
        <w:t>рез 20</w:t>
      </w:r>
      <w:r w:rsidR="003A2581">
        <w:rPr>
          <w:rFonts w:ascii="Times New Roman" w:hAnsi="Times New Roman" w:cs="Times New Roman"/>
          <w:sz w:val="24"/>
          <w:szCs w:val="24"/>
        </w:rPr>
        <w:t>20</w:t>
      </w:r>
      <w:r w:rsidR="000607C8" w:rsidRPr="00B03CD4">
        <w:rPr>
          <w:rFonts w:ascii="Times New Roman" w:hAnsi="Times New Roman" w:cs="Times New Roman"/>
          <w:sz w:val="24"/>
          <w:szCs w:val="24"/>
        </w:rPr>
        <w:t xml:space="preserve"> г. ще продължи прилагането и изпълнението в пъл</w:t>
      </w:r>
      <w:r w:rsidR="00FB15F1" w:rsidRPr="00B03CD4">
        <w:rPr>
          <w:rFonts w:ascii="Times New Roman" w:hAnsi="Times New Roman" w:cs="Times New Roman"/>
          <w:sz w:val="24"/>
          <w:szCs w:val="24"/>
        </w:rPr>
        <w:t xml:space="preserve">на степен на заложените мерки </w:t>
      </w:r>
      <w:r w:rsidR="005735A5">
        <w:rPr>
          <w:rFonts w:ascii="Times New Roman" w:hAnsi="Times New Roman" w:cs="Times New Roman"/>
          <w:sz w:val="24"/>
          <w:szCs w:val="24"/>
        </w:rPr>
        <w:t>в</w:t>
      </w:r>
      <w:r w:rsidR="003A2581">
        <w:rPr>
          <w:rFonts w:ascii="Times New Roman" w:hAnsi="Times New Roman" w:cs="Times New Roman"/>
          <w:sz w:val="24"/>
          <w:szCs w:val="24"/>
        </w:rPr>
        <w:t xml:space="preserve"> </w:t>
      </w:r>
      <w:r w:rsidR="003A2581" w:rsidRPr="00B03CD4">
        <w:rPr>
          <w:rFonts w:ascii="Times New Roman" w:hAnsi="Times New Roman"/>
          <w:sz w:val="24"/>
          <w:szCs w:val="24"/>
        </w:rPr>
        <w:t xml:space="preserve"> „</w:t>
      </w:r>
      <w:r w:rsidR="003A2581">
        <w:rPr>
          <w:rFonts w:ascii="Times New Roman" w:eastAsia="Calibri" w:hAnsi="Times New Roman"/>
          <w:sz w:val="24"/>
          <w:szCs w:val="24"/>
        </w:rPr>
        <w:t>Програма</w:t>
      </w:r>
      <w:r w:rsidR="003A2581" w:rsidRPr="00B03CD4">
        <w:rPr>
          <w:rFonts w:ascii="Times New Roman" w:eastAsia="Calibri" w:hAnsi="Times New Roman"/>
          <w:sz w:val="24"/>
          <w:szCs w:val="24"/>
        </w:rPr>
        <w:t xml:space="preserve"> за намаляване на нивата замърсителите и достигане на установените норми за съдържанието им в атмосферния въздух на територията на община Бургас за периода 2016-2020 година” </w:t>
      </w:r>
      <w:r w:rsidR="003A2581">
        <w:rPr>
          <w:rFonts w:ascii="Times New Roman" w:eastAsia="Calibri" w:hAnsi="Times New Roman"/>
          <w:sz w:val="24"/>
          <w:szCs w:val="24"/>
        </w:rPr>
        <w:t xml:space="preserve"> изготвена в изпълнение на чл.27 от </w:t>
      </w:r>
      <w:r w:rsidR="003A2581" w:rsidRPr="005735A5">
        <w:rPr>
          <w:rFonts w:ascii="Times New Roman" w:eastAsia="Calibri" w:hAnsi="Times New Roman"/>
          <w:i/>
          <w:sz w:val="24"/>
          <w:szCs w:val="24"/>
        </w:rPr>
        <w:t xml:space="preserve">Закон за </w:t>
      </w:r>
      <w:r w:rsidR="003A2581">
        <w:rPr>
          <w:rFonts w:ascii="Times New Roman" w:eastAsia="Calibri" w:hAnsi="Times New Roman"/>
          <w:i/>
          <w:sz w:val="24"/>
          <w:szCs w:val="24"/>
        </w:rPr>
        <w:t>ч</w:t>
      </w:r>
      <w:r w:rsidR="003A2581" w:rsidRPr="005735A5">
        <w:rPr>
          <w:rFonts w:ascii="Times New Roman" w:eastAsia="Calibri" w:hAnsi="Times New Roman"/>
          <w:i/>
          <w:sz w:val="24"/>
          <w:szCs w:val="24"/>
        </w:rPr>
        <w:t>истотата на атмосферния въздух</w:t>
      </w:r>
      <w:r w:rsidR="00727292">
        <w:rPr>
          <w:rFonts w:ascii="Times New Roman" w:eastAsia="Calibri" w:hAnsi="Times New Roman"/>
          <w:sz w:val="24"/>
          <w:szCs w:val="24"/>
        </w:rPr>
        <w:t>.</w:t>
      </w:r>
    </w:p>
    <w:p w:rsidR="00F57C13" w:rsidRDefault="00406B52" w:rsidP="00F57C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7CB" w:rsidRPr="000B57CB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</w:t>
      </w:r>
      <w:r w:rsidR="00B325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Бургас</w:t>
      </w:r>
      <w:r w:rsidR="000B57CB" w:rsidRPr="000B57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бенефициент по ОПОС 2014-2020 г. за изпълнение на интегриран проект „Намаляване на замърсяването на атмосферния въздух с фини прахови частици в кв. Долно Езерово, гр. Бургас“ по Приоритетна ос 5 „Подобряване качеството на атмосферния въздух“ на Оперативна програма „Околна среда“ 2014-2020 г.</w:t>
      </w:r>
    </w:p>
    <w:p w:rsidR="00F57C13" w:rsidRDefault="000B57CB" w:rsidP="00F57C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7CB">
        <w:rPr>
          <w:rFonts w:ascii="Times New Roman" w:eastAsia="Times New Roman" w:hAnsi="Times New Roman" w:cs="Times New Roman"/>
          <w:sz w:val="24"/>
          <w:szCs w:val="24"/>
        </w:rPr>
        <w:t>По Програма</w:t>
      </w:r>
      <w:r w:rsidR="00BF3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LIFE</w:t>
      </w:r>
      <w:r w:rsidRPr="000B57CB">
        <w:rPr>
          <w:rFonts w:ascii="Times New Roman" w:eastAsia="Times New Roman" w:hAnsi="Times New Roman" w:cs="Times New Roman"/>
          <w:sz w:val="24"/>
          <w:szCs w:val="24"/>
        </w:rPr>
        <w:t xml:space="preserve"> започна изпълнение на проект „Българските общини работят заедно за подобряване кач</w:t>
      </w:r>
      <w:r w:rsidR="00406B52">
        <w:rPr>
          <w:rFonts w:ascii="Times New Roman" w:eastAsia="Times New Roman" w:hAnsi="Times New Roman" w:cs="Times New Roman"/>
          <w:sz w:val="24"/>
          <w:szCs w:val="24"/>
        </w:rPr>
        <w:t xml:space="preserve">еството на атмосферния въздух“. </w:t>
      </w:r>
      <w:r w:rsidRPr="000B57CB">
        <w:rPr>
          <w:rFonts w:ascii="Times New Roman" w:eastAsia="Times New Roman" w:hAnsi="Times New Roman" w:cs="Times New Roman"/>
          <w:sz w:val="24"/>
          <w:szCs w:val="24"/>
        </w:rPr>
        <w:t xml:space="preserve">Усилията са насочени към подобряване на качеството на атмосферния въздух чрез изпълнение на мерки, които да доведат до минимизиране на ФПЧ </w:t>
      </w:r>
      <w:r w:rsidR="00406B5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B57CB">
        <w:rPr>
          <w:rFonts w:ascii="Times New Roman" w:eastAsia="Times New Roman" w:hAnsi="Times New Roman" w:cs="Times New Roman"/>
          <w:sz w:val="24"/>
          <w:szCs w:val="24"/>
        </w:rPr>
        <w:t xml:space="preserve">подпомагане на домакинствата </w:t>
      </w:r>
      <w:r w:rsidR="00406B5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0B57CB">
        <w:rPr>
          <w:rFonts w:ascii="Times New Roman" w:eastAsia="Times New Roman" w:hAnsi="Times New Roman" w:cs="Times New Roman"/>
          <w:sz w:val="24"/>
          <w:szCs w:val="24"/>
        </w:rPr>
        <w:t>подмяна на конвенционалните методи на отопление с алтернативни такива.</w:t>
      </w:r>
      <w:r w:rsidR="00D91F06" w:rsidRPr="00D91F06">
        <w:rPr>
          <w:rFonts w:ascii="Times New Roman" w:eastAsia="Times New Roman" w:hAnsi="Times New Roman" w:cs="Times New Roman"/>
          <w:sz w:val="24"/>
          <w:szCs w:val="24"/>
        </w:rPr>
        <w:t xml:space="preserve">Община Бургас изпълнява пакет от мерки, които имат пряк ефект върху намаляване генерирането на емисии на замърсители, от автомобилния </w:t>
      </w:r>
      <w:r w:rsidR="00F57C13">
        <w:rPr>
          <w:rFonts w:ascii="Times New Roman" w:eastAsia="Times New Roman" w:hAnsi="Times New Roman" w:cs="Times New Roman"/>
          <w:sz w:val="24"/>
          <w:szCs w:val="24"/>
        </w:rPr>
        <w:t>транспорт.</w:t>
      </w:r>
    </w:p>
    <w:p w:rsidR="000B57CB" w:rsidRDefault="000B57CB" w:rsidP="000607C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57CB" w:rsidRDefault="000B57CB" w:rsidP="000607C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57CB" w:rsidRDefault="000B57CB" w:rsidP="000607C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57CB" w:rsidRDefault="000B57CB" w:rsidP="000607C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57CB" w:rsidRDefault="000B57CB" w:rsidP="000607C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57CB" w:rsidRPr="00B03CD4" w:rsidRDefault="000B57CB" w:rsidP="000607C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851E0" w:rsidRPr="00580CF1" w:rsidRDefault="00B851E0" w:rsidP="0042540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540E" w:rsidRPr="00B851E0" w:rsidRDefault="0042540E" w:rsidP="009E5B0B">
      <w:pPr>
        <w:rPr>
          <w:sz w:val="24"/>
          <w:szCs w:val="24"/>
        </w:rPr>
      </w:pPr>
    </w:p>
    <w:sectPr w:rsidR="0042540E" w:rsidRPr="00B851E0" w:rsidSect="0050030B">
      <w:pgSz w:w="12240" w:h="15840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142" w:rsidRDefault="00982142" w:rsidP="00B82CE7">
      <w:pPr>
        <w:spacing w:after="0" w:line="240" w:lineRule="auto"/>
      </w:pPr>
      <w:r>
        <w:separator/>
      </w:r>
    </w:p>
  </w:endnote>
  <w:endnote w:type="continuationSeparator" w:id="0">
    <w:p w:rsidR="00982142" w:rsidRDefault="00982142" w:rsidP="00B8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142" w:rsidRDefault="00982142" w:rsidP="00B82CE7">
      <w:pPr>
        <w:spacing w:after="0" w:line="240" w:lineRule="auto"/>
      </w:pPr>
      <w:r>
        <w:separator/>
      </w:r>
    </w:p>
  </w:footnote>
  <w:footnote w:type="continuationSeparator" w:id="0">
    <w:p w:rsidR="00982142" w:rsidRDefault="00982142" w:rsidP="00B82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054B8"/>
    <w:multiLevelType w:val="hybridMultilevel"/>
    <w:tmpl w:val="E118FB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9411E"/>
    <w:multiLevelType w:val="hybridMultilevel"/>
    <w:tmpl w:val="3626A22E"/>
    <w:lvl w:ilvl="0" w:tplc="EA36A4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DB7104"/>
    <w:multiLevelType w:val="hybridMultilevel"/>
    <w:tmpl w:val="D44059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10C23"/>
    <w:multiLevelType w:val="hybridMultilevel"/>
    <w:tmpl w:val="3544CA32"/>
    <w:lvl w:ilvl="0" w:tplc="F9A2870A">
      <w:start w:val="3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B5A"/>
    <w:rsid w:val="00010CAD"/>
    <w:rsid w:val="00012FDB"/>
    <w:rsid w:val="000167F3"/>
    <w:rsid w:val="00023E63"/>
    <w:rsid w:val="00025706"/>
    <w:rsid w:val="000274A3"/>
    <w:rsid w:val="00030D72"/>
    <w:rsid w:val="00031C8A"/>
    <w:rsid w:val="00034EB1"/>
    <w:rsid w:val="0003672E"/>
    <w:rsid w:val="00036FF8"/>
    <w:rsid w:val="0003704C"/>
    <w:rsid w:val="000607C8"/>
    <w:rsid w:val="0007299A"/>
    <w:rsid w:val="0008156F"/>
    <w:rsid w:val="00085E7C"/>
    <w:rsid w:val="0008782A"/>
    <w:rsid w:val="00087D3A"/>
    <w:rsid w:val="00093C10"/>
    <w:rsid w:val="000959EF"/>
    <w:rsid w:val="00097AA9"/>
    <w:rsid w:val="000A097E"/>
    <w:rsid w:val="000A36AD"/>
    <w:rsid w:val="000A3E9F"/>
    <w:rsid w:val="000B0784"/>
    <w:rsid w:val="000B30C9"/>
    <w:rsid w:val="000B57CB"/>
    <w:rsid w:val="000E2E24"/>
    <w:rsid w:val="000E42BD"/>
    <w:rsid w:val="000E614A"/>
    <w:rsid w:val="000F2ACD"/>
    <w:rsid w:val="000F6BF8"/>
    <w:rsid w:val="000F7D08"/>
    <w:rsid w:val="00101402"/>
    <w:rsid w:val="0010284F"/>
    <w:rsid w:val="001038AA"/>
    <w:rsid w:val="00106C5A"/>
    <w:rsid w:val="00134287"/>
    <w:rsid w:val="00140677"/>
    <w:rsid w:val="001510FE"/>
    <w:rsid w:val="00161095"/>
    <w:rsid w:val="00162380"/>
    <w:rsid w:val="0016263A"/>
    <w:rsid w:val="00166697"/>
    <w:rsid w:val="00171832"/>
    <w:rsid w:val="00174891"/>
    <w:rsid w:val="0017619A"/>
    <w:rsid w:val="00182CA5"/>
    <w:rsid w:val="00184EB0"/>
    <w:rsid w:val="00192AB7"/>
    <w:rsid w:val="00192FD4"/>
    <w:rsid w:val="0019750D"/>
    <w:rsid w:val="001A0545"/>
    <w:rsid w:val="001A1C64"/>
    <w:rsid w:val="001A4AAC"/>
    <w:rsid w:val="001A5D8B"/>
    <w:rsid w:val="001B2850"/>
    <w:rsid w:val="001C377B"/>
    <w:rsid w:val="001C556D"/>
    <w:rsid w:val="001D0C5E"/>
    <w:rsid w:val="001D0FED"/>
    <w:rsid w:val="001E7006"/>
    <w:rsid w:val="002066B4"/>
    <w:rsid w:val="00206F39"/>
    <w:rsid w:val="00212737"/>
    <w:rsid w:val="00214612"/>
    <w:rsid w:val="00215280"/>
    <w:rsid w:val="002410C1"/>
    <w:rsid w:val="0024474C"/>
    <w:rsid w:val="00251B4B"/>
    <w:rsid w:val="00252CE0"/>
    <w:rsid w:val="00253DD9"/>
    <w:rsid w:val="00254E05"/>
    <w:rsid w:val="00255DCD"/>
    <w:rsid w:val="002629D3"/>
    <w:rsid w:val="00264244"/>
    <w:rsid w:val="00274571"/>
    <w:rsid w:val="002A3D76"/>
    <w:rsid w:val="002B29D5"/>
    <w:rsid w:val="002B3B7E"/>
    <w:rsid w:val="002B7646"/>
    <w:rsid w:val="002C3541"/>
    <w:rsid w:val="002E2598"/>
    <w:rsid w:val="002E427F"/>
    <w:rsid w:val="002E76A7"/>
    <w:rsid w:val="002F6C8A"/>
    <w:rsid w:val="00303F83"/>
    <w:rsid w:val="00304F55"/>
    <w:rsid w:val="003128A3"/>
    <w:rsid w:val="003131C0"/>
    <w:rsid w:val="00320F0A"/>
    <w:rsid w:val="003406A4"/>
    <w:rsid w:val="00350F7A"/>
    <w:rsid w:val="00353775"/>
    <w:rsid w:val="00374A9F"/>
    <w:rsid w:val="003817C9"/>
    <w:rsid w:val="00387AA5"/>
    <w:rsid w:val="00392A6B"/>
    <w:rsid w:val="00397808"/>
    <w:rsid w:val="00397D98"/>
    <w:rsid w:val="003A2581"/>
    <w:rsid w:val="003A5798"/>
    <w:rsid w:val="003A58AD"/>
    <w:rsid w:val="003B7869"/>
    <w:rsid w:val="003C1BC7"/>
    <w:rsid w:val="003F1762"/>
    <w:rsid w:val="003F73AB"/>
    <w:rsid w:val="00400950"/>
    <w:rsid w:val="00406B52"/>
    <w:rsid w:val="004102A9"/>
    <w:rsid w:val="0042540E"/>
    <w:rsid w:val="00443536"/>
    <w:rsid w:val="00451D9E"/>
    <w:rsid w:val="004602E9"/>
    <w:rsid w:val="004712F2"/>
    <w:rsid w:val="00485A97"/>
    <w:rsid w:val="00490EE4"/>
    <w:rsid w:val="00495090"/>
    <w:rsid w:val="00496F88"/>
    <w:rsid w:val="004A2CFE"/>
    <w:rsid w:val="004A3D0D"/>
    <w:rsid w:val="004A5102"/>
    <w:rsid w:val="004B0EFB"/>
    <w:rsid w:val="004B3E6B"/>
    <w:rsid w:val="004B6A52"/>
    <w:rsid w:val="004C124E"/>
    <w:rsid w:val="004C234D"/>
    <w:rsid w:val="004C5C05"/>
    <w:rsid w:val="004C6945"/>
    <w:rsid w:val="004D1033"/>
    <w:rsid w:val="004D1491"/>
    <w:rsid w:val="004E00D4"/>
    <w:rsid w:val="004F260F"/>
    <w:rsid w:val="004F60F8"/>
    <w:rsid w:val="004F6FA5"/>
    <w:rsid w:val="0050030B"/>
    <w:rsid w:val="00511282"/>
    <w:rsid w:val="005210DD"/>
    <w:rsid w:val="00523289"/>
    <w:rsid w:val="005246AB"/>
    <w:rsid w:val="00534047"/>
    <w:rsid w:val="0054537A"/>
    <w:rsid w:val="0054668F"/>
    <w:rsid w:val="005505E8"/>
    <w:rsid w:val="005516EE"/>
    <w:rsid w:val="0055522F"/>
    <w:rsid w:val="00560C2D"/>
    <w:rsid w:val="00567A88"/>
    <w:rsid w:val="005735A5"/>
    <w:rsid w:val="00574627"/>
    <w:rsid w:val="00580CF1"/>
    <w:rsid w:val="005828B9"/>
    <w:rsid w:val="00585907"/>
    <w:rsid w:val="00591056"/>
    <w:rsid w:val="005947B9"/>
    <w:rsid w:val="00594D55"/>
    <w:rsid w:val="00597520"/>
    <w:rsid w:val="005B56D5"/>
    <w:rsid w:val="005B7A5D"/>
    <w:rsid w:val="005C06B2"/>
    <w:rsid w:val="005D5852"/>
    <w:rsid w:val="005E1D39"/>
    <w:rsid w:val="005F126E"/>
    <w:rsid w:val="00600A3F"/>
    <w:rsid w:val="00606C1E"/>
    <w:rsid w:val="0062039C"/>
    <w:rsid w:val="00620B75"/>
    <w:rsid w:val="006214D3"/>
    <w:rsid w:val="00637C74"/>
    <w:rsid w:val="006411F3"/>
    <w:rsid w:val="00641C22"/>
    <w:rsid w:val="00643362"/>
    <w:rsid w:val="006603FF"/>
    <w:rsid w:val="00662C59"/>
    <w:rsid w:val="00663443"/>
    <w:rsid w:val="00680B14"/>
    <w:rsid w:val="00681060"/>
    <w:rsid w:val="0068397A"/>
    <w:rsid w:val="00684884"/>
    <w:rsid w:val="00684FDB"/>
    <w:rsid w:val="00686723"/>
    <w:rsid w:val="006868D5"/>
    <w:rsid w:val="00693A18"/>
    <w:rsid w:val="00694BDC"/>
    <w:rsid w:val="006A2484"/>
    <w:rsid w:val="006A6442"/>
    <w:rsid w:val="006B113E"/>
    <w:rsid w:val="006B2B62"/>
    <w:rsid w:val="006B51C3"/>
    <w:rsid w:val="006C1434"/>
    <w:rsid w:val="006D3CC8"/>
    <w:rsid w:val="006D56E4"/>
    <w:rsid w:val="006D639E"/>
    <w:rsid w:val="006E2AF3"/>
    <w:rsid w:val="006F42EB"/>
    <w:rsid w:val="006F6523"/>
    <w:rsid w:val="00720655"/>
    <w:rsid w:val="00727292"/>
    <w:rsid w:val="00727BF2"/>
    <w:rsid w:val="0073776E"/>
    <w:rsid w:val="007411D2"/>
    <w:rsid w:val="00744A26"/>
    <w:rsid w:val="007605A8"/>
    <w:rsid w:val="007611DA"/>
    <w:rsid w:val="007644C0"/>
    <w:rsid w:val="007715FE"/>
    <w:rsid w:val="007863ED"/>
    <w:rsid w:val="007925CA"/>
    <w:rsid w:val="007A3AC6"/>
    <w:rsid w:val="007C6D30"/>
    <w:rsid w:val="007D0521"/>
    <w:rsid w:val="007D14B8"/>
    <w:rsid w:val="007F0A56"/>
    <w:rsid w:val="007F6B00"/>
    <w:rsid w:val="00811B37"/>
    <w:rsid w:val="0082199A"/>
    <w:rsid w:val="00830417"/>
    <w:rsid w:val="00833050"/>
    <w:rsid w:val="00833B1F"/>
    <w:rsid w:val="00842A5F"/>
    <w:rsid w:val="0085587D"/>
    <w:rsid w:val="00867567"/>
    <w:rsid w:val="00873455"/>
    <w:rsid w:val="00877B85"/>
    <w:rsid w:val="00881785"/>
    <w:rsid w:val="00882D26"/>
    <w:rsid w:val="008939A8"/>
    <w:rsid w:val="00895F56"/>
    <w:rsid w:val="00897119"/>
    <w:rsid w:val="008A54C5"/>
    <w:rsid w:val="008B227D"/>
    <w:rsid w:val="008B6848"/>
    <w:rsid w:val="008C2B71"/>
    <w:rsid w:val="008D4425"/>
    <w:rsid w:val="008D7A63"/>
    <w:rsid w:val="00901E7A"/>
    <w:rsid w:val="0092264D"/>
    <w:rsid w:val="00926703"/>
    <w:rsid w:val="00935D8A"/>
    <w:rsid w:val="0093614E"/>
    <w:rsid w:val="009418BB"/>
    <w:rsid w:val="00941D90"/>
    <w:rsid w:val="0094570C"/>
    <w:rsid w:val="0094746B"/>
    <w:rsid w:val="00953FF1"/>
    <w:rsid w:val="0095450A"/>
    <w:rsid w:val="009651AA"/>
    <w:rsid w:val="009722A8"/>
    <w:rsid w:val="00972476"/>
    <w:rsid w:val="00982142"/>
    <w:rsid w:val="00982A27"/>
    <w:rsid w:val="00984DE4"/>
    <w:rsid w:val="009A6B7A"/>
    <w:rsid w:val="009B626B"/>
    <w:rsid w:val="009C05E6"/>
    <w:rsid w:val="009C7F1C"/>
    <w:rsid w:val="009E1453"/>
    <w:rsid w:val="009E5B0B"/>
    <w:rsid w:val="009E76D7"/>
    <w:rsid w:val="009F6FE6"/>
    <w:rsid w:val="00A05A64"/>
    <w:rsid w:val="00A1490D"/>
    <w:rsid w:val="00A260AA"/>
    <w:rsid w:val="00A2796C"/>
    <w:rsid w:val="00A27FC4"/>
    <w:rsid w:val="00A36F4D"/>
    <w:rsid w:val="00A375E0"/>
    <w:rsid w:val="00A4481C"/>
    <w:rsid w:val="00A45E23"/>
    <w:rsid w:val="00A53E1B"/>
    <w:rsid w:val="00A62463"/>
    <w:rsid w:val="00A73504"/>
    <w:rsid w:val="00A75229"/>
    <w:rsid w:val="00A835C9"/>
    <w:rsid w:val="00AA63E1"/>
    <w:rsid w:val="00AB1630"/>
    <w:rsid w:val="00AC7201"/>
    <w:rsid w:val="00AD10A1"/>
    <w:rsid w:val="00AE21DF"/>
    <w:rsid w:val="00AE6E46"/>
    <w:rsid w:val="00AE796C"/>
    <w:rsid w:val="00B03CD4"/>
    <w:rsid w:val="00B108F3"/>
    <w:rsid w:val="00B11BA8"/>
    <w:rsid w:val="00B13B34"/>
    <w:rsid w:val="00B14D6F"/>
    <w:rsid w:val="00B16E52"/>
    <w:rsid w:val="00B325E7"/>
    <w:rsid w:val="00B340DB"/>
    <w:rsid w:val="00B34920"/>
    <w:rsid w:val="00B35708"/>
    <w:rsid w:val="00B43AFA"/>
    <w:rsid w:val="00B515F1"/>
    <w:rsid w:val="00B661C4"/>
    <w:rsid w:val="00B82CE7"/>
    <w:rsid w:val="00B851E0"/>
    <w:rsid w:val="00BC5E92"/>
    <w:rsid w:val="00BD41D8"/>
    <w:rsid w:val="00BE16D5"/>
    <w:rsid w:val="00BE771D"/>
    <w:rsid w:val="00BF14BC"/>
    <w:rsid w:val="00BF1634"/>
    <w:rsid w:val="00BF38F6"/>
    <w:rsid w:val="00C0057A"/>
    <w:rsid w:val="00C03788"/>
    <w:rsid w:val="00C13EEC"/>
    <w:rsid w:val="00C23A38"/>
    <w:rsid w:val="00C32DFD"/>
    <w:rsid w:val="00C4669A"/>
    <w:rsid w:val="00C866B4"/>
    <w:rsid w:val="00C956EA"/>
    <w:rsid w:val="00C9602E"/>
    <w:rsid w:val="00CA099B"/>
    <w:rsid w:val="00CA523D"/>
    <w:rsid w:val="00CB0914"/>
    <w:rsid w:val="00CB409B"/>
    <w:rsid w:val="00CB73D4"/>
    <w:rsid w:val="00CD0031"/>
    <w:rsid w:val="00CD2ABC"/>
    <w:rsid w:val="00CD5DA7"/>
    <w:rsid w:val="00CF1807"/>
    <w:rsid w:val="00CF2267"/>
    <w:rsid w:val="00CF4728"/>
    <w:rsid w:val="00CF4BD0"/>
    <w:rsid w:val="00D06036"/>
    <w:rsid w:val="00D17A36"/>
    <w:rsid w:val="00D3037A"/>
    <w:rsid w:val="00D344AF"/>
    <w:rsid w:val="00D45C8D"/>
    <w:rsid w:val="00D47663"/>
    <w:rsid w:val="00D4786D"/>
    <w:rsid w:val="00D52769"/>
    <w:rsid w:val="00D53B5A"/>
    <w:rsid w:val="00D55B24"/>
    <w:rsid w:val="00D55F17"/>
    <w:rsid w:val="00D56D36"/>
    <w:rsid w:val="00D608FC"/>
    <w:rsid w:val="00D711FF"/>
    <w:rsid w:val="00D71EE4"/>
    <w:rsid w:val="00D77CFC"/>
    <w:rsid w:val="00D8188D"/>
    <w:rsid w:val="00D84483"/>
    <w:rsid w:val="00D864BC"/>
    <w:rsid w:val="00D91F06"/>
    <w:rsid w:val="00DB70B0"/>
    <w:rsid w:val="00DB7969"/>
    <w:rsid w:val="00DD0A09"/>
    <w:rsid w:val="00DD33FF"/>
    <w:rsid w:val="00DD651D"/>
    <w:rsid w:val="00DE11FA"/>
    <w:rsid w:val="00DE38A7"/>
    <w:rsid w:val="00DE717E"/>
    <w:rsid w:val="00E00DF5"/>
    <w:rsid w:val="00E23967"/>
    <w:rsid w:val="00E32256"/>
    <w:rsid w:val="00E478BA"/>
    <w:rsid w:val="00E47A37"/>
    <w:rsid w:val="00E52772"/>
    <w:rsid w:val="00E63BD6"/>
    <w:rsid w:val="00E758E7"/>
    <w:rsid w:val="00E76F78"/>
    <w:rsid w:val="00E9400D"/>
    <w:rsid w:val="00E96805"/>
    <w:rsid w:val="00EA40CA"/>
    <w:rsid w:val="00EA4951"/>
    <w:rsid w:val="00EB07DD"/>
    <w:rsid w:val="00EC00AE"/>
    <w:rsid w:val="00EC1F6B"/>
    <w:rsid w:val="00ED21DA"/>
    <w:rsid w:val="00ED4096"/>
    <w:rsid w:val="00ED5D14"/>
    <w:rsid w:val="00EF48A1"/>
    <w:rsid w:val="00EF5084"/>
    <w:rsid w:val="00F131EB"/>
    <w:rsid w:val="00F154D6"/>
    <w:rsid w:val="00F21112"/>
    <w:rsid w:val="00F240B5"/>
    <w:rsid w:val="00F36CFE"/>
    <w:rsid w:val="00F42882"/>
    <w:rsid w:val="00F558DC"/>
    <w:rsid w:val="00F565B0"/>
    <w:rsid w:val="00F57C13"/>
    <w:rsid w:val="00F72E0E"/>
    <w:rsid w:val="00F77BB1"/>
    <w:rsid w:val="00F77F74"/>
    <w:rsid w:val="00F82AB2"/>
    <w:rsid w:val="00F853C5"/>
    <w:rsid w:val="00F86199"/>
    <w:rsid w:val="00F912AF"/>
    <w:rsid w:val="00F926DA"/>
    <w:rsid w:val="00F92BE8"/>
    <w:rsid w:val="00F955B3"/>
    <w:rsid w:val="00F97BDD"/>
    <w:rsid w:val="00FA38C3"/>
    <w:rsid w:val="00FA720B"/>
    <w:rsid w:val="00FB15F1"/>
    <w:rsid w:val="00FC65DC"/>
    <w:rsid w:val="00FD56D7"/>
    <w:rsid w:val="00F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5379"/>
  <w15:docId w15:val="{A2947C56-996C-4668-AB3A-73324D94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07DD"/>
    <w:rPr>
      <w:lang w:val="bg-BG"/>
    </w:rPr>
  </w:style>
  <w:style w:type="paragraph" w:styleId="1">
    <w:name w:val="heading 1"/>
    <w:basedOn w:val="a"/>
    <w:next w:val="a"/>
    <w:link w:val="10"/>
    <w:qFormat/>
    <w:rsid w:val="00496F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53B5A"/>
    <w:rPr>
      <w:rFonts w:ascii="Tahoma" w:hAnsi="Tahoma" w:cs="Tahoma"/>
      <w:sz w:val="16"/>
      <w:szCs w:val="16"/>
      <w:lang w:val="bg-BG"/>
    </w:rPr>
  </w:style>
  <w:style w:type="paragraph" w:styleId="a5">
    <w:name w:val="header"/>
    <w:basedOn w:val="a"/>
    <w:link w:val="a6"/>
    <w:uiPriority w:val="99"/>
    <w:unhideWhenUsed/>
    <w:rsid w:val="00B82C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B82CE7"/>
    <w:rPr>
      <w:lang w:val="bg-BG"/>
    </w:rPr>
  </w:style>
  <w:style w:type="paragraph" w:styleId="a7">
    <w:name w:val="footer"/>
    <w:basedOn w:val="a"/>
    <w:link w:val="a8"/>
    <w:uiPriority w:val="99"/>
    <w:unhideWhenUsed/>
    <w:rsid w:val="00B82C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B82CE7"/>
    <w:rPr>
      <w:lang w:val="bg-BG"/>
    </w:rPr>
  </w:style>
  <w:style w:type="paragraph" w:styleId="a9">
    <w:name w:val="List Paragraph"/>
    <w:basedOn w:val="a"/>
    <w:uiPriority w:val="34"/>
    <w:qFormat/>
    <w:rsid w:val="00681060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96F88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2">
    <w:name w:val="Body Text Indent 2"/>
    <w:basedOn w:val="a"/>
    <w:link w:val="20"/>
    <w:rsid w:val="004102A9"/>
    <w:pPr>
      <w:spacing w:after="120" w:line="240" w:lineRule="auto"/>
      <w:ind w:firstLine="720"/>
      <w:jc w:val="both"/>
    </w:pPr>
    <w:rPr>
      <w:rFonts w:ascii="Tahoma" w:eastAsia="Times New Roman" w:hAnsi="Tahoma" w:cs="Times New Roman"/>
      <w:szCs w:val="20"/>
    </w:rPr>
  </w:style>
  <w:style w:type="character" w:customStyle="1" w:styleId="20">
    <w:name w:val="Основен текст с отстъп 2 Знак"/>
    <w:basedOn w:val="a0"/>
    <w:link w:val="2"/>
    <w:rsid w:val="004102A9"/>
    <w:rPr>
      <w:rFonts w:ascii="Tahoma" w:eastAsia="Times New Roman" w:hAnsi="Tahoma" w:cs="Times New Roman"/>
      <w:szCs w:val="20"/>
      <w:lang w:val="bg-BG"/>
    </w:rPr>
  </w:style>
  <w:style w:type="paragraph" w:styleId="3">
    <w:name w:val="Body Text 3"/>
    <w:basedOn w:val="a"/>
    <w:link w:val="30"/>
    <w:uiPriority w:val="99"/>
    <w:semiHidden/>
    <w:unhideWhenUsed/>
    <w:rsid w:val="00B851E0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851E0"/>
    <w:rPr>
      <w:sz w:val="16"/>
      <w:szCs w:val="16"/>
      <w:lang w:val="bg-BG"/>
    </w:rPr>
  </w:style>
  <w:style w:type="table" w:styleId="aa">
    <w:name w:val="Table Grid"/>
    <w:basedOn w:val="a1"/>
    <w:uiPriority w:val="59"/>
    <w:rsid w:val="0021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'zimno FPCH10'!$A$43</c:f>
              <c:strCache>
                <c:ptCount val="1"/>
                <c:pt idx="0">
                  <c:v> АИС "Долно Езерово"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'zimno FPCH10'!$B$42:$F$42</c:f>
              <c:strCache>
                <c:ptCount val="5"/>
                <c:pt idx="0">
                  <c:v>2015 – 2016 г.</c:v>
                </c:pt>
                <c:pt idx="1">
                  <c:v>2016 – 2017 г.</c:v>
                </c:pt>
                <c:pt idx="2">
                  <c:v>2017 - 2018 г.</c:v>
                </c:pt>
                <c:pt idx="3">
                  <c:v>2018 – 2019 г.</c:v>
                </c:pt>
                <c:pt idx="4">
                  <c:v>2019 – 2020 г.</c:v>
                </c:pt>
              </c:strCache>
            </c:strRef>
          </c:cat>
          <c:val>
            <c:numRef>
              <c:f>'zimno FPCH10'!$B$43:$F$43</c:f>
              <c:numCache>
                <c:formatCode>General</c:formatCode>
                <c:ptCount val="5"/>
                <c:pt idx="0">
                  <c:v>86</c:v>
                </c:pt>
                <c:pt idx="1">
                  <c:v>92</c:v>
                </c:pt>
                <c:pt idx="2">
                  <c:v>81</c:v>
                </c:pt>
                <c:pt idx="3">
                  <c:v>18</c:v>
                </c:pt>
                <c:pt idx="4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11-4408-9E7F-B4118E011CB9}"/>
            </c:ext>
          </c:extLst>
        </c:ser>
        <c:ser>
          <c:idx val="1"/>
          <c:order val="1"/>
          <c:tx>
            <c:strRef>
              <c:f>'zimno FPCH10'!$A$44</c:f>
              <c:strCache>
                <c:ptCount val="1"/>
                <c:pt idx="0">
                  <c:v>АИС "Меден Рудник"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'zimno FPCH10'!$B$42:$F$42</c:f>
              <c:strCache>
                <c:ptCount val="5"/>
                <c:pt idx="0">
                  <c:v>2015 – 2016 г.</c:v>
                </c:pt>
                <c:pt idx="1">
                  <c:v>2016 – 2017 г.</c:v>
                </c:pt>
                <c:pt idx="2">
                  <c:v>2017 - 2018 г.</c:v>
                </c:pt>
                <c:pt idx="3">
                  <c:v>2018 – 2019 г.</c:v>
                </c:pt>
                <c:pt idx="4">
                  <c:v>2019 – 2020 г.</c:v>
                </c:pt>
              </c:strCache>
            </c:strRef>
          </c:cat>
          <c:val>
            <c:numRef>
              <c:f>'zimno FPCH10'!$B$44:$F$44</c:f>
              <c:numCache>
                <c:formatCode>General</c:formatCode>
                <c:ptCount val="5"/>
                <c:pt idx="0">
                  <c:v>20</c:v>
                </c:pt>
                <c:pt idx="1">
                  <c:v>15</c:v>
                </c:pt>
                <c:pt idx="2">
                  <c:v>6</c:v>
                </c:pt>
                <c:pt idx="3">
                  <c:v>7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11-4408-9E7F-B4118E011CB9}"/>
            </c:ext>
          </c:extLst>
        </c:ser>
        <c:ser>
          <c:idx val="2"/>
          <c:order val="2"/>
          <c:tx>
            <c:strRef>
              <c:f>'zimno FPCH10'!$A$45</c:f>
              <c:strCache>
                <c:ptCount val="1"/>
                <c:pt idx="0">
                  <c:v>ДОАС- РИОСВ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'zimno FPCH10'!$B$42:$F$42</c:f>
              <c:strCache>
                <c:ptCount val="5"/>
                <c:pt idx="0">
                  <c:v>2015 – 2016 г.</c:v>
                </c:pt>
                <c:pt idx="1">
                  <c:v>2016 – 2017 г.</c:v>
                </c:pt>
                <c:pt idx="2">
                  <c:v>2017 - 2018 г.</c:v>
                </c:pt>
                <c:pt idx="3">
                  <c:v>2018 – 2019 г.</c:v>
                </c:pt>
                <c:pt idx="4">
                  <c:v>2019 – 2020 г.</c:v>
                </c:pt>
              </c:strCache>
            </c:strRef>
          </c:cat>
          <c:val>
            <c:numRef>
              <c:f>'zimno FPCH10'!$B$45:$F$45</c:f>
              <c:numCache>
                <c:formatCode>General</c:formatCode>
                <c:ptCount val="5"/>
                <c:pt idx="0">
                  <c:v>37</c:v>
                </c:pt>
                <c:pt idx="1">
                  <c:v>33</c:v>
                </c:pt>
                <c:pt idx="2">
                  <c:v>29</c:v>
                </c:pt>
                <c:pt idx="3">
                  <c:v>11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11-4408-9E7F-B4118E011CB9}"/>
            </c:ext>
          </c:extLst>
        </c:ser>
        <c:ser>
          <c:idx val="3"/>
          <c:order val="3"/>
          <c:tx>
            <c:strRef>
              <c:f>'zimno FPCH10'!$A$46</c:f>
              <c:strCache>
                <c:ptCount val="1"/>
                <c:pt idx="0">
                  <c:v>АИС "Несебър"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'zimno FPCH10'!$B$42:$F$42</c:f>
              <c:strCache>
                <c:ptCount val="5"/>
                <c:pt idx="0">
                  <c:v>2015 – 2016 г.</c:v>
                </c:pt>
                <c:pt idx="1">
                  <c:v>2016 – 2017 г.</c:v>
                </c:pt>
                <c:pt idx="2">
                  <c:v>2017 - 2018 г.</c:v>
                </c:pt>
                <c:pt idx="3">
                  <c:v>2018 – 2019 г.</c:v>
                </c:pt>
                <c:pt idx="4">
                  <c:v>2019 – 2020 г.</c:v>
                </c:pt>
              </c:strCache>
            </c:strRef>
          </c:cat>
          <c:val>
            <c:numRef>
              <c:f>'zimno FPCH10'!$B$46:$F$46</c:f>
              <c:numCache>
                <c:formatCode>General</c:formatCode>
                <c:ptCount val="5"/>
                <c:pt idx="0">
                  <c:v>43</c:v>
                </c:pt>
                <c:pt idx="1">
                  <c:v>31</c:v>
                </c:pt>
                <c:pt idx="2">
                  <c:v>40</c:v>
                </c:pt>
                <c:pt idx="3">
                  <c:v>23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211-4408-9E7F-B4118E011C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584768"/>
        <c:axId val="23586304"/>
      </c:barChart>
      <c:catAx>
        <c:axId val="23584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3586304"/>
        <c:crosses val="autoZero"/>
        <c:auto val="1"/>
        <c:lblAlgn val="ctr"/>
        <c:lblOffset val="100"/>
        <c:noMultiLvlLbl val="0"/>
      </c:catAx>
      <c:valAx>
        <c:axId val="2358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35847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'zimno FPCH10'!$B$35</c:f>
              <c:strCache>
                <c:ptCount val="1"/>
                <c:pt idx="0">
                  <c:v>ДОАС Опсис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'zimno FPCH10'!$C$5:$H$5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'zimno FPCH10'!$C$35:$H$35</c:f>
              <c:numCache>
                <c:formatCode>General</c:formatCode>
                <c:ptCount val="6"/>
                <c:pt idx="0">
                  <c:v>25.42</c:v>
                </c:pt>
                <c:pt idx="1">
                  <c:v>32.24</c:v>
                </c:pt>
                <c:pt idx="2">
                  <c:v>34.81</c:v>
                </c:pt>
                <c:pt idx="3">
                  <c:v>37.19</c:v>
                </c:pt>
                <c:pt idx="4">
                  <c:v>32.36</c:v>
                </c:pt>
                <c:pt idx="5">
                  <c:v>39.869999999999997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60-481F-9CA5-F0D2406393F7}"/>
            </c:ext>
          </c:extLst>
        </c:ser>
        <c:ser>
          <c:idx val="1"/>
          <c:order val="1"/>
          <c:tx>
            <c:strRef>
              <c:f>'zimno FPCH10'!$B$36</c:f>
              <c:strCache>
                <c:ptCount val="1"/>
                <c:pt idx="0">
                  <c:v>АИС „Долно Езерово“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'zimno FPCH10'!$C$5:$H$5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'zimno FPCH10'!$C$36:$H$36</c:f>
              <c:numCache>
                <c:formatCode>General</c:formatCode>
                <c:ptCount val="6"/>
                <c:pt idx="0">
                  <c:v>26.91</c:v>
                </c:pt>
                <c:pt idx="1">
                  <c:v>35.29</c:v>
                </c:pt>
                <c:pt idx="2">
                  <c:v>48.42</c:v>
                </c:pt>
                <c:pt idx="3">
                  <c:v>54.77</c:v>
                </c:pt>
                <c:pt idx="4">
                  <c:v>44.13</c:v>
                </c:pt>
                <c:pt idx="5">
                  <c:v>53.67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60-481F-9CA5-F0D2406393F7}"/>
            </c:ext>
          </c:extLst>
        </c:ser>
        <c:ser>
          <c:idx val="2"/>
          <c:order val="2"/>
          <c:tx>
            <c:strRef>
              <c:f>'zimno FPCH10'!$B$37</c:f>
              <c:strCache>
                <c:ptCount val="1"/>
                <c:pt idx="0">
                  <c:v>АИС “Меден Рудник“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'zimno FPCH10'!$C$5:$H$5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'zimno FPCH10'!$C$37:$H$37</c:f>
              <c:numCache>
                <c:formatCode>General</c:formatCode>
                <c:ptCount val="6"/>
                <c:pt idx="0">
                  <c:v>13.5</c:v>
                </c:pt>
                <c:pt idx="1">
                  <c:v>18.010000000000002</c:v>
                </c:pt>
                <c:pt idx="2">
                  <c:v>21.19</c:v>
                </c:pt>
                <c:pt idx="3">
                  <c:v>33.64</c:v>
                </c:pt>
                <c:pt idx="4">
                  <c:v>25.16</c:v>
                </c:pt>
                <c:pt idx="5">
                  <c:v>27.99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60-481F-9CA5-F0D2406393F7}"/>
            </c:ext>
          </c:extLst>
        </c:ser>
        <c:ser>
          <c:idx val="3"/>
          <c:order val="3"/>
          <c:tx>
            <c:strRef>
              <c:f>'zimno FPCH10'!$B$38</c:f>
              <c:strCache>
                <c:ptCount val="1"/>
                <c:pt idx="0">
                  <c:v>АИС “Несебър“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'zimno FPCH10'!$C$5:$H$5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'zimno FPCH10'!$C$38:$H$38</c:f>
              <c:numCache>
                <c:formatCode>General</c:formatCode>
                <c:ptCount val="6"/>
                <c:pt idx="0">
                  <c:v>24.03</c:v>
                </c:pt>
                <c:pt idx="1">
                  <c:v>31.21</c:v>
                </c:pt>
                <c:pt idx="2">
                  <c:v>32.159999999999997</c:v>
                </c:pt>
                <c:pt idx="3">
                  <c:v>38.28</c:v>
                </c:pt>
                <c:pt idx="4">
                  <c:v>31.63</c:v>
                </c:pt>
                <c:pt idx="5">
                  <c:v>43.71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E60-481F-9CA5-F0D2406393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axId val="90816896"/>
        <c:axId val="90818432"/>
      </c:barChart>
      <c:lineChart>
        <c:grouping val="standard"/>
        <c:varyColors val="0"/>
        <c:ser>
          <c:idx val="4"/>
          <c:order val="4"/>
          <c:tx>
            <c:strRef>
              <c:f>'zimno FPCH10'!$B$39</c:f>
              <c:strCache>
                <c:ptCount val="1"/>
                <c:pt idx="0">
                  <c:v>СДН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'zimno FPCH10'!$C$5:$H$5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'zimno FPCH10'!$C$39:$H$39</c:f>
              <c:numCache>
                <c:formatCode>General</c:formatCode>
                <c:ptCount val="6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E60-481F-9CA5-F0D2406393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816896"/>
        <c:axId val="90818432"/>
      </c:lineChart>
      <c:catAx>
        <c:axId val="908168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90818432"/>
        <c:crosses val="autoZero"/>
        <c:auto val="1"/>
        <c:lblAlgn val="ctr"/>
        <c:lblOffset val="100"/>
        <c:noMultiLvlLbl val="0"/>
      </c:catAx>
      <c:valAx>
        <c:axId val="90818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90816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'zimen ozon '!$B$31</c:f>
              <c:strCache>
                <c:ptCount val="1"/>
                <c:pt idx="0">
                  <c:v>ДОАС Опсис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'zimen ozon 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'zimen ozon '!$C$31:$H$31</c:f>
              <c:numCache>
                <c:formatCode>General</c:formatCode>
                <c:ptCount val="6"/>
                <c:pt idx="0">
                  <c:v>45.82</c:v>
                </c:pt>
                <c:pt idx="1">
                  <c:v>43.65</c:v>
                </c:pt>
                <c:pt idx="2">
                  <c:v>29.96</c:v>
                </c:pt>
                <c:pt idx="3">
                  <c:v>36.79</c:v>
                </c:pt>
                <c:pt idx="4">
                  <c:v>44.16</c:v>
                </c:pt>
                <c:pt idx="5">
                  <c:v>48.21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25-4C12-963C-87F06039F799}"/>
            </c:ext>
          </c:extLst>
        </c:ser>
        <c:ser>
          <c:idx val="1"/>
          <c:order val="1"/>
          <c:tx>
            <c:strRef>
              <c:f>'zimen ozon '!$B$32</c:f>
              <c:strCache>
                <c:ptCount val="1"/>
                <c:pt idx="0">
                  <c:v>АИС „Долно Езерово“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'zimen ozon 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'zimen ozon '!$C$32:$H$32</c:f>
              <c:numCache>
                <c:formatCode>General</c:formatCode>
                <c:ptCount val="6"/>
                <c:pt idx="0">
                  <c:v>41.03</c:v>
                </c:pt>
                <c:pt idx="1">
                  <c:v>39.26</c:v>
                </c:pt>
                <c:pt idx="2">
                  <c:v>22.64</c:v>
                </c:pt>
                <c:pt idx="3">
                  <c:v>30.5</c:v>
                </c:pt>
                <c:pt idx="4">
                  <c:v>39.51</c:v>
                </c:pt>
                <c:pt idx="5">
                  <c:v>43.88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25-4C12-963C-87F06039F799}"/>
            </c:ext>
          </c:extLst>
        </c:ser>
        <c:ser>
          <c:idx val="2"/>
          <c:order val="2"/>
          <c:tx>
            <c:strRef>
              <c:f>'zimen ozon '!$B$33</c:f>
              <c:strCache>
                <c:ptCount val="1"/>
                <c:pt idx="0">
                  <c:v>АИС “Меден Рудник“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'zimen ozon 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'zimen ozon '!$C$33:$H$33</c:f>
              <c:numCache>
                <c:formatCode>General</c:formatCode>
                <c:ptCount val="6"/>
                <c:pt idx="0">
                  <c:v>42.97</c:v>
                </c:pt>
                <c:pt idx="1">
                  <c:v>40.840000000000003</c:v>
                </c:pt>
                <c:pt idx="2">
                  <c:v>13.41</c:v>
                </c:pt>
                <c:pt idx="3">
                  <c:v>7.71</c:v>
                </c:pt>
                <c:pt idx="4">
                  <c:v>4.7300000000000004</c:v>
                </c:pt>
                <c:pt idx="5">
                  <c:v>3.69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25-4C12-963C-87F06039F799}"/>
            </c:ext>
          </c:extLst>
        </c:ser>
        <c:ser>
          <c:idx val="3"/>
          <c:order val="3"/>
          <c:tx>
            <c:strRef>
              <c:f>'zimen ozon '!$B$34</c:f>
              <c:strCache>
                <c:ptCount val="1"/>
                <c:pt idx="0">
                  <c:v>АИС “Несебър“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'zimen ozon 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'zimen ozon '!$C$34:$H$34</c:f>
              <c:numCache>
                <c:formatCode>General</c:formatCode>
                <c:ptCount val="6"/>
                <c:pt idx="0">
                  <c:v>0</c:v>
                </c:pt>
                <c:pt idx="1">
                  <c:v>22.41</c:v>
                </c:pt>
                <c:pt idx="2">
                  <c:v>16.77</c:v>
                </c:pt>
                <c:pt idx="3">
                  <c:v>19.28</c:v>
                </c:pt>
                <c:pt idx="4">
                  <c:v>19.43</c:v>
                </c:pt>
                <c:pt idx="5">
                  <c:v>7.65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E25-4C12-963C-87F06039F7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921984"/>
        <c:axId val="90948352"/>
      </c:barChart>
      <c:lineChart>
        <c:grouping val="standard"/>
        <c:varyColors val="0"/>
        <c:ser>
          <c:idx val="4"/>
          <c:order val="4"/>
          <c:tx>
            <c:strRef>
              <c:f>'zimen ozon '!$B$35</c:f>
              <c:strCache>
                <c:ptCount val="1"/>
                <c:pt idx="0">
                  <c:v>КЦН</c:v>
                </c:pt>
              </c:strCache>
            </c:strRef>
          </c:tx>
          <c:spPr>
            <a:ln w="34925" cap="rnd">
              <a:solidFill>
                <a:schemeClr val="accent5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'zimen ozon 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'zimen ozon '!$C$35:$H$35</c:f>
              <c:numCache>
                <c:formatCode>General</c:formatCode>
                <c:ptCount val="6"/>
                <c:pt idx="0">
                  <c:v>120</c:v>
                </c:pt>
                <c:pt idx="1">
                  <c:v>120</c:v>
                </c:pt>
                <c:pt idx="2">
                  <c:v>120</c:v>
                </c:pt>
                <c:pt idx="3">
                  <c:v>120</c:v>
                </c:pt>
                <c:pt idx="4">
                  <c:v>120</c:v>
                </c:pt>
                <c:pt idx="5">
                  <c:v>120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E25-4C12-963C-87F06039F7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921984"/>
        <c:axId val="90948352"/>
      </c:lineChart>
      <c:catAx>
        <c:axId val="909219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90948352"/>
        <c:crosses val="autoZero"/>
        <c:auto val="1"/>
        <c:lblAlgn val="ctr"/>
        <c:lblOffset val="100"/>
        <c:noMultiLvlLbl val="0"/>
      </c:catAx>
      <c:valAx>
        <c:axId val="9094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9092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13</Pages>
  <Words>3692</Words>
  <Characters>21047</Characters>
  <Application>Microsoft Office Word</Application>
  <DocSecurity>0</DocSecurity>
  <Lines>175</Lines>
  <Paragraphs>49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MM. Mihaleva</dc:creator>
  <cp:lastModifiedBy>Mariana MM. Mihaleva</cp:lastModifiedBy>
  <cp:revision>60</cp:revision>
  <cp:lastPrinted>2020-05-14T11:18:00Z</cp:lastPrinted>
  <dcterms:created xsi:type="dcterms:W3CDTF">2020-04-29T12:39:00Z</dcterms:created>
  <dcterms:modified xsi:type="dcterms:W3CDTF">2020-05-14T11:18:00Z</dcterms:modified>
</cp:coreProperties>
</file>